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C4" w:rsidRPr="00AA1816" w:rsidRDefault="00D038C4" w:rsidP="00D038C4">
      <w:pPr>
        <w:widowControl w:val="0"/>
        <w:adjustRightInd w:val="0"/>
        <w:spacing w:after="120" w:line="400" w:lineRule="atLeast"/>
        <w:jc w:val="both"/>
        <w:rPr>
          <w:rFonts w:ascii="Helvetica" w:eastAsia="Cambria" w:hAnsi="Helvetica" w:cs="Times New Roman"/>
          <w:b/>
          <w:sz w:val="32"/>
          <w:szCs w:val="24"/>
          <w:lang w:val="en-US"/>
        </w:rPr>
      </w:pPr>
      <w:r>
        <w:rPr>
          <w:rFonts w:ascii="Helvetica" w:eastAsia="Cambria" w:hAnsi="Helvetica" w:cs="Times New Roman"/>
          <w:b/>
          <w:sz w:val="32"/>
          <w:szCs w:val="24"/>
          <w:lang w:val="en-US"/>
        </w:rPr>
        <w:t xml:space="preserve">Demonstrating Sustainable </w:t>
      </w:r>
      <w:r w:rsidRPr="00AA1816">
        <w:rPr>
          <w:rFonts w:ascii="Helvetica" w:eastAsia="Cambria" w:hAnsi="Helvetica" w:cs="Times New Roman"/>
          <w:b/>
          <w:sz w:val="32"/>
          <w:szCs w:val="24"/>
          <w:lang w:val="en-US"/>
        </w:rPr>
        <w:t>Bio</w:t>
      </w:r>
      <w:r>
        <w:rPr>
          <w:rFonts w:ascii="Helvetica" w:eastAsia="Cambria" w:hAnsi="Helvetica" w:cs="Times New Roman"/>
          <w:b/>
          <w:sz w:val="32"/>
          <w:szCs w:val="24"/>
          <w:lang w:val="en-US"/>
        </w:rPr>
        <w:t>mass Utilization and</w:t>
      </w:r>
      <w:r w:rsidRPr="00AA1816">
        <w:rPr>
          <w:rFonts w:ascii="Helvetica" w:eastAsia="Cambria" w:hAnsi="Helvetica" w:cs="Times New Roman"/>
          <w:b/>
          <w:sz w:val="32"/>
          <w:szCs w:val="24"/>
          <w:lang w:val="en-US"/>
        </w:rPr>
        <w:t xml:space="preserve"> </w:t>
      </w:r>
      <w:r>
        <w:rPr>
          <w:rFonts w:ascii="Helvetica" w:eastAsia="Cambria" w:hAnsi="Helvetica" w:cs="Times New Roman"/>
          <w:b/>
          <w:sz w:val="32"/>
          <w:szCs w:val="24"/>
          <w:lang w:val="en-US"/>
        </w:rPr>
        <w:t>P</w:t>
      </w:r>
      <w:r w:rsidRPr="00AA1816">
        <w:rPr>
          <w:rFonts w:ascii="Helvetica" w:eastAsia="Cambria" w:hAnsi="Helvetica" w:cs="Times New Roman"/>
          <w:b/>
          <w:sz w:val="32"/>
          <w:szCs w:val="24"/>
          <w:lang w:val="en-US"/>
        </w:rPr>
        <w:t xml:space="preserve">rocessing </w:t>
      </w:r>
      <w:r>
        <w:rPr>
          <w:rFonts w:ascii="Helvetica" w:eastAsia="Cambria" w:hAnsi="Helvetica" w:cs="Times New Roman"/>
          <w:b/>
          <w:sz w:val="32"/>
          <w:szCs w:val="24"/>
          <w:lang w:val="en-US"/>
        </w:rPr>
        <w:t>using Ionic Liquids – an I</w:t>
      </w:r>
      <w:r w:rsidRPr="00AA1816">
        <w:rPr>
          <w:rFonts w:ascii="Helvetica" w:eastAsia="Cambria" w:hAnsi="Helvetica" w:cs="Times New Roman"/>
          <w:b/>
          <w:sz w:val="32"/>
          <w:szCs w:val="24"/>
          <w:lang w:val="en-US"/>
        </w:rPr>
        <w:t xml:space="preserve">ntroduction to </w:t>
      </w:r>
      <w:r>
        <w:rPr>
          <w:rFonts w:ascii="Helvetica" w:eastAsia="Cambria" w:hAnsi="Helvetica" w:cs="Times New Roman"/>
          <w:b/>
          <w:sz w:val="32"/>
          <w:szCs w:val="24"/>
          <w:lang w:val="en-US"/>
        </w:rPr>
        <w:t>U</w:t>
      </w:r>
      <w:r w:rsidRPr="00AA1816">
        <w:rPr>
          <w:rFonts w:ascii="Helvetica" w:eastAsia="Cambria" w:hAnsi="Helvetica" w:cs="Times New Roman"/>
          <w:b/>
          <w:sz w:val="32"/>
          <w:szCs w:val="24"/>
          <w:lang w:val="en-US"/>
        </w:rPr>
        <w:t xml:space="preserve">ndergraduate </w:t>
      </w:r>
      <w:r>
        <w:rPr>
          <w:rFonts w:ascii="Helvetica" w:eastAsia="Cambria" w:hAnsi="Helvetica" w:cs="Times New Roman"/>
          <w:b/>
          <w:sz w:val="32"/>
          <w:szCs w:val="24"/>
          <w:lang w:val="en-US"/>
        </w:rPr>
        <w:t>C</w:t>
      </w:r>
      <w:r w:rsidRPr="00AA1816">
        <w:rPr>
          <w:rFonts w:ascii="Helvetica" w:eastAsia="Cambria" w:hAnsi="Helvetica" w:cs="Times New Roman"/>
          <w:b/>
          <w:sz w:val="32"/>
          <w:szCs w:val="24"/>
          <w:lang w:val="en-US"/>
        </w:rPr>
        <w:t xml:space="preserve">hemistry </w:t>
      </w:r>
      <w:r>
        <w:rPr>
          <w:rFonts w:ascii="Helvetica" w:eastAsia="Cambria" w:hAnsi="Helvetica" w:cs="Times New Roman"/>
          <w:b/>
          <w:sz w:val="32"/>
          <w:szCs w:val="24"/>
          <w:lang w:val="en-US"/>
        </w:rPr>
        <w:t>L</w:t>
      </w:r>
      <w:r w:rsidRPr="00AA1816">
        <w:rPr>
          <w:rFonts w:ascii="Helvetica" w:eastAsia="Cambria" w:hAnsi="Helvetica" w:cs="Times New Roman"/>
          <w:b/>
          <w:sz w:val="32"/>
          <w:szCs w:val="24"/>
          <w:lang w:val="en-US"/>
        </w:rPr>
        <w:t>aboratories</w:t>
      </w:r>
    </w:p>
    <w:p w:rsidR="00D038C4" w:rsidRDefault="00D038C4" w:rsidP="00D038C4">
      <w:pPr>
        <w:widowControl w:val="0"/>
        <w:adjustRightInd w:val="0"/>
        <w:spacing w:after="0" w:line="360" w:lineRule="auto"/>
        <w:jc w:val="both"/>
        <w:rPr>
          <w:rFonts w:ascii="Bookman Old Style" w:eastAsia="Times New Roman" w:hAnsi="Bookman Old Style" w:cs="Times New Roman"/>
          <w:sz w:val="20"/>
          <w:szCs w:val="20"/>
          <w:lang w:val="en-US"/>
        </w:rPr>
      </w:pPr>
    </w:p>
    <w:p w:rsidR="00D038C4" w:rsidRPr="0009356D" w:rsidRDefault="00D038C4" w:rsidP="00D038C4">
      <w:pPr>
        <w:widowControl w:val="0"/>
        <w:adjustRightInd w:val="0"/>
        <w:spacing w:after="0" w:line="360" w:lineRule="auto"/>
        <w:jc w:val="both"/>
        <w:rPr>
          <w:rFonts w:eastAsia="Times New Roman" w:cs="Times New Roman"/>
          <w:sz w:val="24"/>
          <w:szCs w:val="24"/>
          <w:lang w:val="en-US"/>
        </w:rPr>
      </w:pPr>
      <w:r w:rsidRPr="0009356D">
        <w:rPr>
          <w:rFonts w:eastAsia="Times New Roman" w:cs="Times New Roman"/>
          <w:sz w:val="24"/>
          <w:szCs w:val="24"/>
          <w:lang w:val="en-US"/>
        </w:rPr>
        <w:t>Daniel Rauber</w:t>
      </w:r>
      <w:r w:rsidRPr="0009356D">
        <w:rPr>
          <w:rFonts w:eastAsia="Times New Roman" w:cs="Times New Roman"/>
          <w:sz w:val="24"/>
          <w:szCs w:val="24"/>
          <w:vertAlign w:val="superscript"/>
          <w:lang w:val="en-US"/>
        </w:rPr>
        <w:t>1)2)</w:t>
      </w:r>
      <w:r w:rsidRPr="0009356D">
        <w:rPr>
          <w:rFonts w:eastAsia="Times New Roman" w:cs="Times New Roman"/>
          <w:sz w:val="24"/>
          <w:szCs w:val="24"/>
          <w:lang w:val="en-US"/>
        </w:rPr>
        <w:t>, Michael Conrad</w:t>
      </w:r>
      <w:r w:rsidRPr="0009356D">
        <w:rPr>
          <w:rFonts w:eastAsia="Times New Roman" w:cs="Times New Roman"/>
          <w:sz w:val="24"/>
          <w:szCs w:val="24"/>
          <w:vertAlign w:val="superscript"/>
          <w:lang w:val="en-US"/>
        </w:rPr>
        <w:t>1)</w:t>
      </w:r>
      <w:r w:rsidRPr="0009356D">
        <w:rPr>
          <w:rFonts w:eastAsia="Times New Roman" w:cs="Times New Roman"/>
          <w:sz w:val="24"/>
          <w:szCs w:val="24"/>
          <w:lang w:val="en-US"/>
        </w:rPr>
        <w:t>, Johannes Huwer</w:t>
      </w:r>
      <w:r w:rsidRPr="0009356D">
        <w:rPr>
          <w:rFonts w:eastAsia="Times New Roman" w:cs="Times New Roman"/>
          <w:sz w:val="24"/>
          <w:szCs w:val="24"/>
          <w:vertAlign w:val="superscript"/>
          <w:lang w:val="en-US"/>
        </w:rPr>
        <w:t>1)</w:t>
      </w:r>
      <w:r w:rsidRPr="0009356D">
        <w:rPr>
          <w:rFonts w:eastAsia="Times New Roman" w:cs="Times New Roman"/>
          <w:sz w:val="24"/>
          <w:szCs w:val="24"/>
          <w:lang w:val="en-US"/>
        </w:rPr>
        <w:t>, Harald Natter</w:t>
      </w:r>
      <w:r w:rsidRPr="0009356D">
        <w:rPr>
          <w:rFonts w:eastAsia="Times New Roman" w:cs="Times New Roman"/>
          <w:sz w:val="24"/>
          <w:szCs w:val="24"/>
          <w:vertAlign w:val="superscript"/>
          <w:lang w:val="en-US"/>
        </w:rPr>
        <w:t>1)2)</w:t>
      </w:r>
      <w:r w:rsidRPr="0009356D">
        <w:rPr>
          <w:rFonts w:eastAsia="Times New Roman" w:cs="Times New Roman"/>
          <w:sz w:val="24"/>
          <w:szCs w:val="24"/>
          <w:lang w:val="en-US"/>
        </w:rPr>
        <w:t>, Rolf Hempelmann</w:t>
      </w:r>
      <w:r w:rsidRPr="0009356D">
        <w:rPr>
          <w:rFonts w:eastAsia="Times New Roman" w:cs="Times New Roman"/>
          <w:sz w:val="24"/>
          <w:szCs w:val="24"/>
          <w:vertAlign w:val="superscript"/>
          <w:lang w:val="en-US"/>
        </w:rPr>
        <w:t>1)2)</w:t>
      </w:r>
      <w:r w:rsidRPr="0009356D">
        <w:rPr>
          <w:sz w:val="24"/>
          <w:szCs w:val="24"/>
          <w:lang w:val="en-US"/>
        </w:rPr>
        <w:t>*</w:t>
      </w:r>
    </w:p>
    <w:p w:rsidR="00D038C4" w:rsidRPr="0009356D" w:rsidRDefault="00D038C4" w:rsidP="00D038C4">
      <w:pPr>
        <w:widowControl w:val="0"/>
        <w:adjustRightInd w:val="0"/>
        <w:spacing w:after="0" w:line="360" w:lineRule="auto"/>
        <w:jc w:val="both"/>
        <w:rPr>
          <w:rFonts w:eastAsia="Times New Roman" w:cs="Times New Roman"/>
          <w:sz w:val="24"/>
          <w:szCs w:val="24"/>
          <w:lang w:val="en-US"/>
        </w:rPr>
      </w:pPr>
    </w:p>
    <w:p w:rsidR="00D038C4" w:rsidRPr="0009356D" w:rsidRDefault="00D038C4" w:rsidP="00D038C4">
      <w:pPr>
        <w:widowControl w:val="0"/>
        <w:adjustRightInd w:val="0"/>
        <w:spacing w:after="0" w:line="360" w:lineRule="auto"/>
        <w:jc w:val="both"/>
        <w:rPr>
          <w:rFonts w:eastAsia="Times New Roman" w:cs="Times New Roman"/>
          <w:sz w:val="24"/>
          <w:szCs w:val="24"/>
          <w:lang w:val="en-US"/>
        </w:rPr>
      </w:pPr>
      <w:r w:rsidRPr="0009356D">
        <w:rPr>
          <w:rFonts w:eastAsia="Times New Roman" w:cs="Times New Roman"/>
          <w:sz w:val="24"/>
          <w:szCs w:val="24"/>
          <w:lang w:val="en-US"/>
        </w:rPr>
        <w:t xml:space="preserve">1) Department of Physical Chemistry and Chemistry Didactics, Saarland University, Campus B2.2, 66123 </w:t>
      </w:r>
      <w:proofErr w:type="spellStart"/>
      <w:r w:rsidRPr="0009356D">
        <w:rPr>
          <w:rFonts w:eastAsia="Times New Roman" w:cs="Times New Roman"/>
          <w:sz w:val="24"/>
          <w:szCs w:val="24"/>
          <w:lang w:val="en-US"/>
        </w:rPr>
        <w:t>Saarbrücken</w:t>
      </w:r>
      <w:proofErr w:type="spellEnd"/>
      <w:r w:rsidRPr="0009356D">
        <w:rPr>
          <w:rFonts w:eastAsia="Times New Roman" w:cs="Times New Roman"/>
          <w:sz w:val="24"/>
          <w:szCs w:val="24"/>
          <w:lang w:val="en-US"/>
        </w:rPr>
        <w:t>, Germany.</w:t>
      </w:r>
    </w:p>
    <w:p w:rsidR="00D038C4" w:rsidRPr="0009356D" w:rsidRDefault="00B1390F" w:rsidP="00D038C4">
      <w:pPr>
        <w:widowControl w:val="0"/>
        <w:adjustRightInd w:val="0"/>
        <w:spacing w:after="0" w:line="360" w:lineRule="auto"/>
        <w:jc w:val="both"/>
        <w:rPr>
          <w:rFonts w:eastAsia="Times New Roman" w:cs="Times New Roman"/>
          <w:sz w:val="24"/>
          <w:szCs w:val="24"/>
          <w:lang w:val="en-US"/>
        </w:rPr>
      </w:pPr>
      <w:r>
        <w:rPr>
          <w:rFonts w:eastAsia="Times New Roman" w:cs="Times New Roman"/>
          <w:sz w:val="24"/>
          <w:szCs w:val="24"/>
          <w:lang w:val="en-US"/>
        </w:rPr>
        <w:t xml:space="preserve">2) </w:t>
      </w:r>
      <w:proofErr w:type="spellStart"/>
      <w:r>
        <w:rPr>
          <w:rFonts w:eastAsia="Times New Roman" w:cs="Times New Roman"/>
          <w:sz w:val="24"/>
          <w:szCs w:val="24"/>
          <w:lang w:val="en-US"/>
        </w:rPr>
        <w:t>Transfercent</w:t>
      </w:r>
      <w:r w:rsidR="00D038C4" w:rsidRPr="0009356D">
        <w:rPr>
          <w:rFonts w:eastAsia="Times New Roman" w:cs="Times New Roman"/>
          <w:sz w:val="24"/>
          <w:szCs w:val="24"/>
          <w:lang w:val="en-US"/>
        </w:rPr>
        <w:t>r</w:t>
      </w:r>
      <w:r>
        <w:rPr>
          <w:rFonts w:eastAsia="Times New Roman" w:cs="Times New Roman"/>
          <w:sz w:val="24"/>
          <w:szCs w:val="24"/>
          <w:lang w:val="en-US"/>
        </w:rPr>
        <w:t>e</w:t>
      </w:r>
      <w:bookmarkStart w:id="0" w:name="_GoBack"/>
      <w:bookmarkEnd w:id="0"/>
      <w:proofErr w:type="spellEnd"/>
      <w:r w:rsidR="00D038C4" w:rsidRPr="0009356D">
        <w:rPr>
          <w:rFonts w:eastAsia="Times New Roman" w:cs="Times New Roman"/>
          <w:sz w:val="24"/>
          <w:szCs w:val="24"/>
          <w:lang w:val="en-US"/>
        </w:rPr>
        <w:t xml:space="preserve"> Sustainable Electrochemistry, Saarland University</w:t>
      </w:r>
      <w:r w:rsidR="00242613">
        <w:rPr>
          <w:rFonts w:eastAsia="Times New Roman" w:cs="Times New Roman"/>
          <w:sz w:val="24"/>
          <w:szCs w:val="24"/>
          <w:lang w:val="en-US"/>
        </w:rPr>
        <w:t xml:space="preserve"> and KIST Europe</w:t>
      </w:r>
      <w:r w:rsidR="00D038C4" w:rsidRPr="0009356D">
        <w:rPr>
          <w:rFonts w:eastAsia="Times New Roman" w:cs="Times New Roman"/>
          <w:sz w:val="24"/>
          <w:szCs w:val="24"/>
          <w:lang w:val="en-US"/>
        </w:rPr>
        <w:t xml:space="preserve">, Campus </w:t>
      </w:r>
      <w:proofErr w:type="spellStart"/>
      <w:r w:rsidR="00D038C4" w:rsidRPr="0009356D">
        <w:rPr>
          <w:rFonts w:eastAsia="Times New Roman" w:cs="Times New Roman"/>
          <w:sz w:val="24"/>
          <w:szCs w:val="24"/>
          <w:lang w:val="en-US"/>
        </w:rPr>
        <w:t>Dudweiler</w:t>
      </w:r>
      <w:proofErr w:type="spellEnd"/>
      <w:r w:rsidR="00D038C4" w:rsidRPr="0009356D">
        <w:rPr>
          <w:rFonts w:eastAsia="Times New Roman" w:cs="Times New Roman"/>
          <w:sz w:val="24"/>
          <w:szCs w:val="24"/>
          <w:lang w:val="en-US"/>
        </w:rPr>
        <w:t xml:space="preserve">, </w:t>
      </w:r>
      <w:proofErr w:type="spellStart"/>
      <w:r w:rsidR="00D038C4" w:rsidRPr="0009356D">
        <w:rPr>
          <w:rFonts w:eastAsia="Times New Roman" w:cs="Times New Roman"/>
          <w:sz w:val="24"/>
          <w:szCs w:val="24"/>
          <w:lang w:val="en-US"/>
        </w:rPr>
        <w:t>Zeile</w:t>
      </w:r>
      <w:proofErr w:type="spellEnd"/>
      <w:r w:rsidR="00D038C4" w:rsidRPr="0009356D">
        <w:rPr>
          <w:rFonts w:eastAsia="Times New Roman" w:cs="Times New Roman"/>
          <w:sz w:val="24"/>
          <w:szCs w:val="24"/>
          <w:lang w:val="en-US"/>
        </w:rPr>
        <w:t xml:space="preserve"> 3, 6612</w:t>
      </w:r>
      <w:r w:rsidR="00242613">
        <w:rPr>
          <w:rFonts w:eastAsia="Times New Roman" w:cs="Times New Roman"/>
          <w:sz w:val="24"/>
          <w:szCs w:val="24"/>
          <w:lang w:val="en-US"/>
        </w:rPr>
        <w:t>5</w:t>
      </w:r>
      <w:r w:rsidR="00D038C4" w:rsidRPr="0009356D">
        <w:rPr>
          <w:rFonts w:eastAsia="Times New Roman" w:cs="Times New Roman"/>
          <w:sz w:val="24"/>
          <w:szCs w:val="24"/>
          <w:lang w:val="en-US"/>
        </w:rPr>
        <w:t xml:space="preserve"> </w:t>
      </w:r>
      <w:proofErr w:type="spellStart"/>
      <w:r w:rsidR="00D038C4" w:rsidRPr="0009356D">
        <w:rPr>
          <w:rFonts w:eastAsia="Times New Roman" w:cs="Times New Roman"/>
          <w:sz w:val="24"/>
          <w:szCs w:val="24"/>
          <w:lang w:val="en-US"/>
        </w:rPr>
        <w:t>Saarbrücken</w:t>
      </w:r>
      <w:proofErr w:type="spellEnd"/>
      <w:r w:rsidR="00D038C4" w:rsidRPr="0009356D">
        <w:rPr>
          <w:rFonts w:eastAsia="Times New Roman" w:cs="Times New Roman"/>
          <w:sz w:val="24"/>
          <w:szCs w:val="24"/>
          <w:lang w:val="en-US"/>
        </w:rPr>
        <w:t xml:space="preserve">. </w:t>
      </w:r>
    </w:p>
    <w:p w:rsidR="00D038C4" w:rsidRPr="00D038C4" w:rsidRDefault="00FB3B30">
      <w:pPr>
        <w:rPr>
          <w:rFonts w:ascii="Arial" w:hAnsi="Arial" w:cs="Arial"/>
          <w:b/>
          <w:sz w:val="24"/>
          <w:lang w:val="en-US"/>
        </w:rPr>
      </w:pPr>
      <w:r>
        <w:rPr>
          <w:rFonts w:ascii="Arial" w:hAnsi="Arial" w:cs="Arial"/>
          <w:lang w:val="en-US"/>
        </w:rPr>
        <w:br w:type="page"/>
      </w:r>
      <w:r w:rsidR="00D038C4" w:rsidRPr="00D038C4">
        <w:rPr>
          <w:rFonts w:ascii="Bookman Old Style" w:hAnsi="Bookman Old Style" w:cs="Arial"/>
          <w:b/>
          <w:sz w:val="24"/>
          <w:lang w:val="en-US"/>
        </w:rPr>
        <w:lastRenderedPageBreak/>
        <w:t>Content:</w:t>
      </w:r>
    </w:p>
    <w:p w:rsidR="009878EF" w:rsidRDefault="009878EF" w:rsidP="009878EF">
      <w:pPr>
        <w:pStyle w:val="Verzeichnis1"/>
        <w:tabs>
          <w:tab w:val="right" w:leader="dot" w:pos="9062"/>
        </w:tabs>
        <w:spacing w:after="240"/>
        <w:rPr>
          <w:rStyle w:val="Hyperlink"/>
          <w:noProof/>
          <w:color w:val="000000" w:themeColor="text1"/>
          <w:sz w:val="24"/>
          <w:szCs w:val="24"/>
          <w:u w:val="none"/>
          <w:lang w:val="en-US"/>
        </w:rPr>
      </w:pPr>
    </w:p>
    <w:p w:rsidR="009878EF" w:rsidRPr="009878EF" w:rsidRDefault="009878EF" w:rsidP="009878EF">
      <w:pPr>
        <w:pStyle w:val="Verzeichnis1"/>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1. Synthesis of the Ionic Liquids</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1</w:t>
      </w:r>
    </w:p>
    <w:p w:rsidR="009878EF" w:rsidRPr="009878EF" w:rsidRDefault="009878EF" w:rsidP="009878EF">
      <w:pPr>
        <w:pStyle w:val="Verzeichnis2"/>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1.1 Synthesis of 1-butyl-3-methylimidazolium-chloride [C</w:t>
      </w:r>
      <w:r w:rsidRPr="009878EF">
        <w:rPr>
          <w:rStyle w:val="Hyperlink"/>
          <w:noProof/>
          <w:color w:val="000000" w:themeColor="text1"/>
          <w:sz w:val="24"/>
          <w:szCs w:val="24"/>
          <w:u w:val="none"/>
          <w:vertAlign w:val="subscript"/>
          <w:lang w:val="en-US"/>
        </w:rPr>
        <w:t>4</w:t>
      </w:r>
      <w:r w:rsidRPr="009878EF">
        <w:rPr>
          <w:rStyle w:val="Hyperlink"/>
          <w:noProof/>
          <w:color w:val="000000" w:themeColor="text1"/>
          <w:sz w:val="24"/>
          <w:szCs w:val="24"/>
          <w:u w:val="none"/>
          <w:lang w:val="en-US"/>
        </w:rPr>
        <w:t>-mim][Cl]</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1</w:t>
      </w:r>
    </w:p>
    <w:p w:rsidR="009878EF" w:rsidRPr="009878EF" w:rsidRDefault="009878EF" w:rsidP="009878EF">
      <w:pPr>
        <w:pStyle w:val="Verzeichnis2"/>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1.2 Synthesis of triethylammonium methanesulfonate [Et</w:t>
      </w:r>
      <w:r w:rsidRPr="009878EF">
        <w:rPr>
          <w:rStyle w:val="Hyperlink"/>
          <w:noProof/>
          <w:color w:val="000000" w:themeColor="text1"/>
          <w:sz w:val="24"/>
          <w:szCs w:val="24"/>
          <w:u w:val="none"/>
          <w:vertAlign w:val="subscript"/>
          <w:lang w:val="en-US"/>
        </w:rPr>
        <w:t>3</w:t>
      </w:r>
      <w:r w:rsidRPr="009878EF">
        <w:rPr>
          <w:rStyle w:val="Hyperlink"/>
          <w:noProof/>
          <w:color w:val="000000" w:themeColor="text1"/>
          <w:sz w:val="24"/>
          <w:szCs w:val="24"/>
          <w:u w:val="none"/>
          <w:lang w:val="en-US"/>
        </w:rPr>
        <w:t>NH][SO</w:t>
      </w:r>
      <w:r w:rsidRPr="009878EF">
        <w:rPr>
          <w:rStyle w:val="Hyperlink"/>
          <w:noProof/>
          <w:color w:val="000000" w:themeColor="text1"/>
          <w:sz w:val="24"/>
          <w:szCs w:val="24"/>
          <w:u w:val="none"/>
          <w:vertAlign w:val="subscript"/>
          <w:lang w:val="en-US"/>
        </w:rPr>
        <w:t>3</w:t>
      </w:r>
      <w:r w:rsidRPr="009878EF">
        <w:rPr>
          <w:rStyle w:val="Hyperlink"/>
          <w:noProof/>
          <w:color w:val="000000" w:themeColor="text1"/>
          <w:sz w:val="24"/>
          <w:szCs w:val="24"/>
          <w:u w:val="none"/>
          <w:lang w:val="en-US"/>
        </w:rPr>
        <w:t>Me]</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4</w:t>
      </w:r>
    </w:p>
    <w:p w:rsidR="009878EF" w:rsidRPr="009878EF" w:rsidRDefault="009878EF" w:rsidP="009878EF">
      <w:pPr>
        <w:pStyle w:val="Verzeichnis1"/>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2. Full hazards and precaution statements for the chemicals used in the main manuscript</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6</w:t>
      </w:r>
    </w:p>
    <w:p w:rsidR="009878EF" w:rsidRPr="009878EF" w:rsidRDefault="009878EF" w:rsidP="009878EF">
      <w:pPr>
        <w:pStyle w:val="Verzeichnis1"/>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3. The twelve principles of green chemistry as guideline for sustainable development in chemistry</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7</w:t>
      </w:r>
    </w:p>
    <w:p w:rsidR="009878EF" w:rsidRPr="009878EF" w:rsidRDefault="009878EF" w:rsidP="009878EF">
      <w:pPr>
        <w:pStyle w:val="Verzeichnis2"/>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3.1 Introduction of the green chemistry guidelines</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7</w:t>
      </w:r>
    </w:p>
    <w:p w:rsidR="009878EF" w:rsidRPr="009878EF" w:rsidRDefault="009878EF" w:rsidP="009878EF">
      <w:pPr>
        <w:pStyle w:val="Verzeichnis2"/>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3.2 Evaluation of the experiments in the context of green chemistry</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8</w:t>
      </w:r>
    </w:p>
    <w:p w:rsidR="009878EF" w:rsidRPr="009878EF" w:rsidRDefault="009878EF" w:rsidP="009878EF">
      <w:pPr>
        <w:pStyle w:val="Verzeichnis3"/>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3.2.1 Biomass pretreatment using ionic liquids</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8</w:t>
      </w:r>
    </w:p>
    <w:p w:rsidR="009878EF" w:rsidRPr="009878EF" w:rsidRDefault="009878EF" w:rsidP="009878EF">
      <w:pPr>
        <w:pStyle w:val="Verzeichnis3"/>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3.2.2 Biomass processing using ionic liquids</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10</w:t>
      </w:r>
    </w:p>
    <w:p w:rsidR="009878EF" w:rsidRPr="009878EF" w:rsidRDefault="009878EF" w:rsidP="009878EF">
      <w:pPr>
        <w:pStyle w:val="Verzeichnis2"/>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3.2.3 Biopolymers based on lignin</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12</w:t>
      </w:r>
    </w:p>
    <w:p w:rsidR="009878EF" w:rsidRPr="009878EF" w:rsidRDefault="009878EF" w:rsidP="009878EF">
      <w:pPr>
        <w:pStyle w:val="Verzeichnis1"/>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4. NMR-spectra of the synthesized ILs.</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14</w:t>
      </w:r>
    </w:p>
    <w:p w:rsidR="009878EF" w:rsidRPr="009878EF" w:rsidRDefault="009878EF" w:rsidP="009878EF">
      <w:pPr>
        <w:pStyle w:val="Verzeichnis2"/>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4.1 NMR-spectra of [C</w:t>
      </w:r>
      <w:r w:rsidRPr="009878EF">
        <w:rPr>
          <w:rStyle w:val="Hyperlink"/>
          <w:noProof/>
          <w:color w:val="000000" w:themeColor="text1"/>
          <w:sz w:val="24"/>
          <w:szCs w:val="24"/>
          <w:u w:val="none"/>
          <w:vertAlign w:val="subscript"/>
          <w:lang w:val="en-US"/>
        </w:rPr>
        <w:t>4</w:t>
      </w:r>
      <w:r w:rsidRPr="009878EF">
        <w:rPr>
          <w:rStyle w:val="Hyperlink"/>
          <w:noProof/>
          <w:color w:val="000000" w:themeColor="text1"/>
          <w:sz w:val="24"/>
          <w:szCs w:val="24"/>
          <w:u w:val="none"/>
          <w:lang w:val="en-US"/>
        </w:rPr>
        <w:noBreakHyphen/>
        <w:t>mim][Cl]</w:t>
      </w:r>
      <w:r w:rsidRPr="009878EF">
        <w:rPr>
          <w:noProof/>
          <w:webHidden/>
          <w:color w:val="000000" w:themeColor="text1"/>
          <w:sz w:val="24"/>
          <w:szCs w:val="24"/>
          <w:lang w:val="en-US"/>
        </w:rPr>
        <w:tab/>
      </w:r>
      <w:r w:rsidR="004C2282">
        <w:rPr>
          <w:noProof/>
          <w:webHidden/>
          <w:color w:val="000000" w:themeColor="text1"/>
          <w:sz w:val="24"/>
          <w:szCs w:val="24"/>
          <w:lang w:val="en-US"/>
        </w:rPr>
        <w:t>S</w:t>
      </w:r>
      <w:r w:rsidRPr="009878EF">
        <w:rPr>
          <w:noProof/>
          <w:webHidden/>
          <w:color w:val="000000" w:themeColor="text1"/>
          <w:sz w:val="24"/>
          <w:szCs w:val="24"/>
          <w:lang w:val="en-US"/>
        </w:rPr>
        <w:t>14</w:t>
      </w:r>
    </w:p>
    <w:p w:rsidR="009878EF" w:rsidRPr="00B1390F" w:rsidRDefault="009878EF" w:rsidP="009878EF">
      <w:pPr>
        <w:pStyle w:val="Verzeichnis1"/>
        <w:tabs>
          <w:tab w:val="right" w:leader="dot" w:pos="9062"/>
        </w:tabs>
        <w:spacing w:after="240"/>
        <w:rPr>
          <w:noProof/>
          <w:color w:val="000000" w:themeColor="text1"/>
          <w:sz w:val="24"/>
          <w:szCs w:val="24"/>
          <w:lang w:val="en-US"/>
        </w:rPr>
      </w:pPr>
      <w:r w:rsidRPr="009878EF">
        <w:rPr>
          <w:rStyle w:val="Hyperlink"/>
          <w:noProof/>
          <w:color w:val="000000" w:themeColor="text1"/>
          <w:sz w:val="24"/>
          <w:szCs w:val="24"/>
          <w:u w:val="none"/>
          <w:lang w:val="en-US"/>
        </w:rPr>
        <w:t>5. References</w:t>
      </w:r>
      <w:r w:rsidRPr="00B1390F">
        <w:rPr>
          <w:noProof/>
          <w:webHidden/>
          <w:color w:val="000000" w:themeColor="text1"/>
          <w:sz w:val="24"/>
          <w:szCs w:val="24"/>
          <w:lang w:val="en-US"/>
        </w:rPr>
        <w:tab/>
      </w:r>
      <w:r w:rsidR="004C2282" w:rsidRPr="00B1390F">
        <w:rPr>
          <w:noProof/>
          <w:webHidden/>
          <w:color w:val="000000" w:themeColor="text1"/>
          <w:sz w:val="24"/>
          <w:szCs w:val="24"/>
          <w:lang w:val="en-US"/>
        </w:rPr>
        <w:t>S</w:t>
      </w:r>
      <w:r w:rsidRPr="00B1390F">
        <w:rPr>
          <w:noProof/>
          <w:webHidden/>
          <w:color w:val="000000" w:themeColor="text1"/>
          <w:sz w:val="24"/>
          <w:szCs w:val="24"/>
          <w:lang w:val="en-US"/>
        </w:rPr>
        <w:t>16</w:t>
      </w:r>
    </w:p>
    <w:p w:rsidR="009878EF" w:rsidRDefault="009878EF" w:rsidP="009878EF">
      <w:pPr>
        <w:rPr>
          <w:rFonts w:ascii="Arial" w:hAnsi="Arial" w:cs="Arial"/>
          <w:b/>
          <w:color w:val="FF0000"/>
          <w:lang w:val="en-US"/>
        </w:rPr>
      </w:pPr>
    </w:p>
    <w:p w:rsidR="00D038C4" w:rsidRPr="00790D1D" w:rsidRDefault="00D038C4">
      <w:pPr>
        <w:rPr>
          <w:rFonts w:ascii="Arial" w:hAnsi="Arial" w:cs="Arial"/>
          <w:b/>
          <w:color w:val="FF0000"/>
          <w:lang w:val="en-US"/>
        </w:rPr>
        <w:sectPr w:rsidR="00D038C4" w:rsidRPr="00790D1D">
          <w:footerReference w:type="default" r:id="rId9"/>
          <w:pgSz w:w="11906" w:h="16838"/>
          <w:pgMar w:top="1417" w:right="1417" w:bottom="1134" w:left="1417" w:header="708" w:footer="708" w:gutter="0"/>
          <w:cols w:space="708"/>
          <w:docGrid w:linePitch="360"/>
        </w:sectPr>
      </w:pPr>
    </w:p>
    <w:p w:rsidR="00FB3B30" w:rsidRPr="0009356D" w:rsidRDefault="00FB3B30" w:rsidP="0009356D">
      <w:pPr>
        <w:pStyle w:val="berschrift1"/>
        <w:rPr>
          <w:lang w:val="en-US"/>
        </w:rPr>
      </w:pPr>
      <w:bookmarkStart w:id="1" w:name="_Toc490738013"/>
      <w:r w:rsidRPr="0009356D">
        <w:rPr>
          <w:lang w:val="en-US"/>
        </w:rPr>
        <w:lastRenderedPageBreak/>
        <w:t>1. Synthesis of the Ionic Liquids</w:t>
      </w:r>
      <w:bookmarkEnd w:id="1"/>
    </w:p>
    <w:p w:rsidR="00B078AC" w:rsidRPr="0009356D" w:rsidRDefault="00B078AC" w:rsidP="004A6273">
      <w:pPr>
        <w:spacing w:after="480"/>
        <w:jc w:val="both"/>
        <w:rPr>
          <w:rFonts w:cs="Arial"/>
          <w:lang w:val="en-US"/>
        </w:rPr>
      </w:pPr>
      <w:r w:rsidRPr="0009356D">
        <w:rPr>
          <w:rFonts w:cs="Arial"/>
          <w:lang w:val="en-US"/>
        </w:rPr>
        <w:t>This chapter describes the synthesis of the</w:t>
      </w:r>
      <w:r w:rsidR="003833FE">
        <w:rPr>
          <w:rFonts w:cs="Arial"/>
          <w:lang w:val="en-US"/>
        </w:rPr>
        <w:t xml:space="preserve"> two</w:t>
      </w:r>
      <w:r w:rsidRPr="0009356D">
        <w:rPr>
          <w:rFonts w:cs="Arial"/>
          <w:lang w:val="en-US"/>
        </w:rPr>
        <w:t xml:space="preserve"> ionic liquids (ILs) used in the </w:t>
      </w:r>
      <w:r w:rsidR="00790D1D">
        <w:rPr>
          <w:rFonts w:cs="Arial"/>
          <w:lang w:val="en-US"/>
        </w:rPr>
        <w:t xml:space="preserve">main </w:t>
      </w:r>
      <w:r w:rsidRPr="0009356D">
        <w:rPr>
          <w:rFonts w:cs="Arial"/>
          <w:lang w:val="en-US"/>
        </w:rPr>
        <w:t>manuscript. They can be synthesized from readily available, inexpensive chemicals</w:t>
      </w:r>
      <w:proofErr w:type="gramStart"/>
      <w:r w:rsidR="00242613">
        <w:rPr>
          <w:rFonts w:cs="Arial"/>
          <w:lang w:val="en-US"/>
        </w:rPr>
        <w:t xml:space="preserve">; </w:t>
      </w:r>
      <w:r w:rsidRPr="0009356D">
        <w:rPr>
          <w:rFonts w:cs="Arial"/>
          <w:lang w:val="en-US"/>
        </w:rPr>
        <w:t xml:space="preserve"> [</w:t>
      </w:r>
      <w:proofErr w:type="gramEnd"/>
      <w:r w:rsidRPr="0009356D">
        <w:rPr>
          <w:rFonts w:cs="Arial"/>
          <w:lang w:val="en-US"/>
        </w:rPr>
        <w:t>C4</w:t>
      </w:r>
      <w:r w:rsidRPr="0009356D">
        <w:rPr>
          <w:rFonts w:cs="Arial"/>
          <w:lang w:val="en-US"/>
        </w:rPr>
        <w:noBreakHyphen/>
        <w:t xml:space="preserve">mim][Cl] </w:t>
      </w:r>
      <w:r w:rsidR="00242613">
        <w:rPr>
          <w:rFonts w:cs="Arial"/>
          <w:lang w:val="en-US"/>
        </w:rPr>
        <w:t xml:space="preserve">can be </w:t>
      </w:r>
      <w:r w:rsidRPr="0009356D">
        <w:rPr>
          <w:rFonts w:cs="Arial"/>
          <w:lang w:val="en-US"/>
        </w:rPr>
        <w:t>obtained from a variety of commercial suppliers. By evaluating the yield, time and energy demand a comparison about the environmental friendliness of the two syntheses can</w:t>
      </w:r>
      <w:r w:rsidR="003833FE">
        <w:rPr>
          <w:rFonts w:cs="Arial"/>
          <w:lang w:val="en-US"/>
        </w:rPr>
        <w:t xml:space="preserve"> also</w:t>
      </w:r>
      <w:r w:rsidRPr="0009356D">
        <w:rPr>
          <w:rFonts w:cs="Arial"/>
          <w:lang w:val="en-US"/>
        </w:rPr>
        <w:t xml:space="preserve"> be made. Make sure to wear appropriate protection during the synthesis and handling including gloves, lab coat and safety googles to avoid any harm.</w:t>
      </w:r>
      <w:r w:rsidR="00122333" w:rsidRPr="0009356D">
        <w:rPr>
          <w:rFonts w:cs="Arial"/>
          <w:lang w:val="en-US"/>
        </w:rPr>
        <w:t xml:space="preserve"> The obtained ILs are hygroscopic and should therefore be stored in sealed vessels to avoid contact with moisture.</w:t>
      </w:r>
    </w:p>
    <w:p w:rsidR="00FB3B30" w:rsidRPr="0009356D" w:rsidRDefault="00FB3B30" w:rsidP="0009356D">
      <w:pPr>
        <w:pStyle w:val="berschrift2"/>
        <w:rPr>
          <w:lang w:val="en-US"/>
        </w:rPr>
      </w:pPr>
      <w:bookmarkStart w:id="2" w:name="_Toc490738014"/>
      <w:r w:rsidRPr="0009356D">
        <w:rPr>
          <w:lang w:val="en-US"/>
        </w:rPr>
        <w:t>1.1 Synthesis of 1-butyl-3-methylimidazolium-chloride [C</w:t>
      </w:r>
      <w:r w:rsidRPr="0009356D">
        <w:rPr>
          <w:vertAlign w:val="subscript"/>
          <w:lang w:val="en-US"/>
        </w:rPr>
        <w:t>4</w:t>
      </w:r>
      <w:r w:rsidRPr="0009356D">
        <w:rPr>
          <w:lang w:val="en-US"/>
        </w:rPr>
        <w:t>-mim</w:t>
      </w:r>
      <w:proofErr w:type="gramStart"/>
      <w:r w:rsidRPr="0009356D">
        <w:rPr>
          <w:lang w:val="en-US"/>
        </w:rPr>
        <w:t>][</w:t>
      </w:r>
      <w:proofErr w:type="gramEnd"/>
      <w:r w:rsidRPr="0009356D">
        <w:rPr>
          <w:lang w:val="en-US"/>
        </w:rPr>
        <w:t>Cl]</w:t>
      </w:r>
      <w:bookmarkEnd w:id="2"/>
    </w:p>
    <w:p w:rsidR="00FB3B30" w:rsidRPr="0009356D" w:rsidRDefault="00FB3B30" w:rsidP="00DD345C">
      <w:pPr>
        <w:jc w:val="both"/>
        <w:rPr>
          <w:rFonts w:cs="Arial"/>
          <w:lang w:val="en-US"/>
        </w:rPr>
      </w:pPr>
      <w:r w:rsidRPr="0009356D">
        <w:rPr>
          <w:rFonts w:cs="Arial"/>
          <w:lang w:val="en-US"/>
        </w:rPr>
        <w:t>The synthesis of the ionic liquid</w:t>
      </w:r>
      <w:r w:rsidR="00630619" w:rsidRPr="0009356D">
        <w:rPr>
          <w:rFonts w:cs="Arial"/>
          <w:lang w:val="en-US"/>
        </w:rPr>
        <w:t xml:space="preserve"> </w:t>
      </w:r>
      <w:r w:rsidR="0009356D">
        <w:rPr>
          <w:rFonts w:cs="Arial"/>
          <w:lang w:val="en-US"/>
        </w:rPr>
        <w:t xml:space="preserve">1-butyl-3-methylimidazolium </w:t>
      </w:r>
      <w:r w:rsidR="00630619" w:rsidRPr="0009356D">
        <w:rPr>
          <w:rFonts w:cs="Arial"/>
          <w:lang w:val="en-US"/>
        </w:rPr>
        <w:t>chloride</w:t>
      </w:r>
      <w:r w:rsidRPr="0009356D">
        <w:rPr>
          <w:rFonts w:cs="Arial"/>
          <w:lang w:val="en-US"/>
        </w:rPr>
        <w:t xml:space="preserve"> [C</w:t>
      </w:r>
      <w:r w:rsidRPr="0009356D">
        <w:rPr>
          <w:rFonts w:cs="Arial"/>
          <w:vertAlign w:val="subscript"/>
          <w:lang w:val="en-US"/>
        </w:rPr>
        <w:t>4</w:t>
      </w:r>
      <w:r w:rsidRPr="0009356D">
        <w:rPr>
          <w:rFonts w:cs="Arial"/>
          <w:lang w:val="en-US"/>
        </w:rPr>
        <w:t>-mim</w:t>
      </w:r>
      <w:proofErr w:type="gramStart"/>
      <w:r w:rsidRPr="0009356D">
        <w:rPr>
          <w:rFonts w:cs="Arial"/>
          <w:lang w:val="en-US"/>
        </w:rPr>
        <w:t>][</w:t>
      </w:r>
      <w:proofErr w:type="gramEnd"/>
      <w:r w:rsidRPr="0009356D">
        <w:rPr>
          <w:rFonts w:cs="Arial"/>
          <w:lang w:val="en-US"/>
        </w:rPr>
        <w:t>Cl] is carried out according to scheme 1</w:t>
      </w:r>
      <w:r w:rsidR="00CB47B7" w:rsidRPr="0009356D">
        <w:rPr>
          <w:rFonts w:cs="Arial"/>
          <w:lang w:val="en-US"/>
        </w:rPr>
        <w:t xml:space="preserve"> without solvent</w:t>
      </w:r>
      <w:r w:rsidRPr="0009356D">
        <w:rPr>
          <w:rFonts w:cs="Arial"/>
          <w:lang w:val="en-US"/>
        </w:rPr>
        <w:t>.</w:t>
      </w:r>
      <w:r w:rsidR="009A77B1" w:rsidRPr="0009356D">
        <w:rPr>
          <w:rFonts w:cs="Arial"/>
          <w:lang w:val="en-US"/>
        </w:rPr>
        <w:t xml:space="preserve"> In principle the experiment can be scaled up or down according to individual needs without any further changes. </w:t>
      </w:r>
    </w:p>
    <w:p w:rsidR="00FB3B30" w:rsidRPr="0009356D" w:rsidRDefault="00FB3B30">
      <w:pPr>
        <w:rPr>
          <w:rFonts w:cs="Arial"/>
          <w:lang w:val="en-US"/>
        </w:rPr>
      </w:pPr>
      <w:r w:rsidRPr="0009356D">
        <w:rPr>
          <w:rFonts w:cs="Arial"/>
          <w:noProof/>
          <w:lang w:eastAsia="de-DE"/>
        </w:rPr>
        <w:drawing>
          <wp:inline distT="0" distB="0" distL="0" distR="0" wp14:anchorId="204507AE" wp14:editId="134458CF">
            <wp:extent cx="5760720" cy="1287512"/>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IM Cl synthesi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1287512"/>
                    </a:xfrm>
                    <a:prstGeom prst="rect">
                      <a:avLst/>
                    </a:prstGeom>
                  </pic:spPr>
                </pic:pic>
              </a:graphicData>
            </a:graphic>
          </wp:inline>
        </w:drawing>
      </w:r>
    </w:p>
    <w:p w:rsidR="00CB47B7" w:rsidRPr="00671A57" w:rsidRDefault="009A77B1" w:rsidP="00671A57">
      <w:pPr>
        <w:spacing w:after="360"/>
        <w:jc w:val="both"/>
        <w:rPr>
          <w:rFonts w:cs="Arial"/>
          <w:lang w:val="en-US"/>
        </w:rPr>
      </w:pPr>
      <w:r w:rsidRPr="00671A57">
        <w:rPr>
          <w:rFonts w:cs="Arial"/>
          <w:b/>
          <w:lang w:val="en-US"/>
        </w:rPr>
        <w:t>Scheme 1</w:t>
      </w:r>
      <w:r w:rsidR="00B078AC" w:rsidRPr="00671A57">
        <w:rPr>
          <w:rFonts w:cs="Arial"/>
          <w:lang w:val="en-US"/>
        </w:rPr>
        <w:t>.</w:t>
      </w:r>
      <w:r w:rsidRPr="00671A57">
        <w:rPr>
          <w:rFonts w:cs="Arial"/>
          <w:lang w:val="en-US"/>
        </w:rPr>
        <w:t xml:space="preserve"> Synthesis of [C</w:t>
      </w:r>
      <w:r w:rsidRPr="00671A57">
        <w:rPr>
          <w:rFonts w:cs="Arial"/>
          <w:vertAlign w:val="subscript"/>
          <w:lang w:val="en-US"/>
        </w:rPr>
        <w:t>4</w:t>
      </w:r>
      <w:r w:rsidRPr="00671A57">
        <w:rPr>
          <w:rFonts w:cs="Arial"/>
          <w:lang w:val="en-US"/>
        </w:rPr>
        <w:t>-mim</w:t>
      </w:r>
      <w:proofErr w:type="gramStart"/>
      <w:r w:rsidRPr="00671A57">
        <w:rPr>
          <w:rFonts w:cs="Arial"/>
          <w:lang w:val="en-US"/>
        </w:rPr>
        <w:t>][</w:t>
      </w:r>
      <w:proofErr w:type="gramEnd"/>
      <w:r w:rsidRPr="00671A57">
        <w:rPr>
          <w:rFonts w:cs="Arial"/>
          <w:lang w:val="en-US"/>
        </w:rPr>
        <w:t>Cl] by nucleophilic substitution of 1-methylimidazole and 1-chlorobutane.</w:t>
      </w:r>
    </w:p>
    <w:p w:rsidR="0063757E" w:rsidRPr="0009356D" w:rsidRDefault="009A77B1" w:rsidP="00DD345C">
      <w:pPr>
        <w:jc w:val="both"/>
        <w:rPr>
          <w:rFonts w:cs="Arial"/>
          <w:lang w:val="en-US"/>
        </w:rPr>
      </w:pPr>
      <w:r w:rsidRPr="0009356D">
        <w:rPr>
          <w:rFonts w:cs="Arial"/>
          <w:i/>
          <w:lang w:val="en-US"/>
        </w:rPr>
        <w:t>Equipment and glassware</w:t>
      </w:r>
      <w:r w:rsidRPr="0009356D">
        <w:rPr>
          <w:rFonts w:cs="Arial"/>
          <w:lang w:val="en-US"/>
        </w:rPr>
        <w:t xml:space="preserve">: </w:t>
      </w:r>
      <w:r w:rsidR="00DD345C" w:rsidRPr="0009356D">
        <w:rPr>
          <w:rFonts w:cs="Arial"/>
          <w:lang w:val="en-US"/>
        </w:rPr>
        <w:t>250 mL three-necked round bottom flask,</w:t>
      </w:r>
      <w:r w:rsidR="00122333" w:rsidRPr="0009356D">
        <w:rPr>
          <w:rFonts w:cs="Arial"/>
          <w:lang w:val="en-US"/>
        </w:rPr>
        <w:t xml:space="preserve"> 250 mL round bottom flask,</w:t>
      </w:r>
      <w:r w:rsidR="00DD345C" w:rsidRPr="0009356D">
        <w:rPr>
          <w:rFonts w:cs="Arial"/>
          <w:lang w:val="en-US"/>
        </w:rPr>
        <w:t xml:space="preserve"> reflux condenser, thermometer with adapter, </w:t>
      </w:r>
      <w:r w:rsidR="00925332" w:rsidRPr="0009356D">
        <w:rPr>
          <w:rFonts w:cs="Arial"/>
          <w:lang w:val="en-US"/>
        </w:rPr>
        <w:t xml:space="preserve">dropping funnel, </w:t>
      </w:r>
      <w:r w:rsidR="00DD345C" w:rsidRPr="0009356D">
        <w:rPr>
          <w:rFonts w:cs="Arial"/>
          <w:lang w:val="en-US"/>
        </w:rPr>
        <w:t xml:space="preserve">graduated cylinder, magnetic stirrer, magnetic stir bar, oil bath, 500 mL beaker, rotary evaporator or distillation apparatus, oil-pump and cooling trap (optional).   </w:t>
      </w:r>
    </w:p>
    <w:p w:rsidR="0063757E" w:rsidRPr="0009356D" w:rsidRDefault="00D305E7" w:rsidP="00DD345C">
      <w:pPr>
        <w:jc w:val="both"/>
        <w:rPr>
          <w:rFonts w:cs="Arial"/>
          <w:lang w:val="en-US"/>
        </w:rPr>
      </w:pPr>
      <w:proofErr w:type="spellStart"/>
      <w:r w:rsidRPr="00242613">
        <w:rPr>
          <w:rFonts w:cs="Arial"/>
          <w:i/>
          <w:lang w:val="fr-FR"/>
        </w:rPr>
        <w:t>Chemicals</w:t>
      </w:r>
      <w:proofErr w:type="spellEnd"/>
      <w:r w:rsidRPr="00242613">
        <w:rPr>
          <w:rFonts w:cs="Arial"/>
          <w:lang w:val="fr-FR"/>
        </w:rPr>
        <w:t>:</w:t>
      </w:r>
      <w:r w:rsidR="00DD345C" w:rsidRPr="00242613">
        <w:rPr>
          <w:rFonts w:cs="Arial"/>
          <w:lang w:val="fr-FR"/>
        </w:rPr>
        <w:t xml:space="preserve"> 1-methylimidazole, 1-chlorobutane, </w:t>
      </w:r>
      <w:proofErr w:type="spellStart"/>
      <w:r w:rsidR="00DD345C" w:rsidRPr="00242613">
        <w:rPr>
          <w:rFonts w:cs="Arial"/>
          <w:lang w:val="fr-FR"/>
        </w:rPr>
        <w:t>ethyl</w:t>
      </w:r>
      <w:proofErr w:type="spellEnd"/>
      <w:r w:rsidR="00DD345C" w:rsidRPr="00242613">
        <w:rPr>
          <w:rFonts w:cs="Arial"/>
          <w:lang w:val="fr-FR"/>
        </w:rPr>
        <w:t xml:space="preserve"> </w:t>
      </w:r>
      <w:proofErr w:type="spellStart"/>
      <w:r w:rsidR="00DD345C" w:rsidRPr="00242613">
        <w:rPr>
          <w:rFonts w:cs="Arial"/>
          <w:lang w:val="fr-FR"/>
        </w:rPr>
        <w:t>acetate</w:t>
      </w:r>
      <w:proofErr w:type="spellEnd"/>
      <w:r w:rsidR="00DD345C" w:rsidRPr="00242613">
        <w:rPr>
          <w:rFonts w:cs="Arial"/>
          <w:lang w:val="fr-FR"/>
        </w:rPr>
        <w:t xml:space="preserve">. </w:t>
      </w:r>
      <w:r w:rsidR="00DD345C" w:rsidRPr="0009356D">
        <w:rPr>
          <w:rFonts w:cs="Arial"/>
          <w:lang w:val="en-US"/>
        </w:rPr>
        <w:t xml:space="preserve">The corresponding GHS-classifications along with hazard and precaution </w:t>
      </w:r>
      <w:r w:rsidR="001F5ACA">
        <w:rPr>
          <w:rFonts w:cs="Arial"/>
          <w:lang w:val="en-US"/>
        </w:rPr>
        <w:t xml:space="preserve">statements are listed in </w:t>
      </w:r>
      <w:r w:rsidR="001F5ACA">
        <w:rPr>
          <w:rFonts w:cs="Arial"/>
          <w:lang w:val="en-US"/>
        </w:rPr>
        <w:fldChar w:fldCharType="begin"/>
      </w:r>
      <w:r w:rsidR="001F5ACA">
        <w:rPr>
          <w:rFonts w:cs="Arial"/>
          <w:lang w:val="en-US"/>
        </w:rPr>
        <w:instrText xml:space="preserve"> REF _Ref484765657 \h </w:instrText>
      </w:r>
      <w:r w:rsidR="001F5ACA">
        <w:rPr>
          <w:rFonts w:cs="Arial"/>
          <w:lang w:val="en-US"/>
        </w:rPr>
      </w:r>
      <w:r w:rsidR="001F5ACA">
        <w:rPr>
          <w:rFonts w:cs="Arial"/>
          <w:lang w:val="en-US"/>
        </w:rPr>
        <w:fldChar w:fldCharType="separate"/>
      </w:r>
      <w:r w:rsidR="001F5ACA" w:rsidRPr="001F5ACA">
        <w:rPr>
          <w:lang w:val="en-US"/>
        </w:rPr>
        <w:t xml:space="preserve">Table </w:t>
      </w:r>
      <w:r w:rsidR="001F5ACA" w:rsidRPr="001F5ACA">
        <w:rPr>
          <w:noProof/>
          <w:lang w:val="en-US"/>
        </w:rPr>
        <w:t>1</w:t>
      </w:r>
      <w:r w:rsidR="001F5ACA">
        <w:rPr>
          <w:rFonts w:cs="Arial"/>
          <w:lang w:val="en-US"/>
        </w:rPr>
        <w:fldChar w:fldCharType="end"/>
      </w:r>
      <w:r w:rsidR="00DD345C" w:rsidRPr="0009356D">
        <w:rPr>
          <w:rFonts w:cs="Arial"/>
          <w:lang w:val="en-US"/>
        </w:rPr>
        <w:t xml:space="preserve">. </w:t>
      </w:r>
      <w:r w:rsidR="00CB47B7" w:rsidRPr="0009356D">
        <w:rPr>
          <w:rFonts w:cs="Arial"/>
          <w:lang w:val="en-US"/>
        </w:rPr>
        <w:t xml:space="preserve">The </w:t>
      </w:r>
      <w:r w:rsidR="00FE3554" w:rsidRPr="0009356D">
        <w:rPr>
          <w:rFonts w:cs="Arial"/>
          <w:lang w:val="en-US"/>
        </w:rPr>
        <w:t>amounts of substances for 100 g theoretical yield are</w:t>
      </w:r>
      <w:r w:rsidR="003833FE">
        <w:rPr>
          <w:rFonts w:cs="Arial"/>
          <w:lang w:val="en-US"/>
        </w:rPr>
        <w:t xml:space="preserve"> given in </w:t>
      </w:r>
      <w:r w:rsidR="003833FE">
        <w:rPr>
          <w:rFonts w:cs="Arial"/>
          <w:lang w:val="en-US"/>
        </w:rPr>
        <w:fldChar w:fldCharType="begin"/>
      </w:r>
      <w:r w:rsidR="003833FE">
        <w:rPr>
          <w:rFonts w:cs="Arial"/>
          <w:lang w:val="en-US"/>
        </w:rPr>
        <w:instrText xml:space="preserve"> REF _Ref484765991 \h </w:instrText>
      </w:r>
      <w:r w:rsidR="003833FE">
        <w:rPr>
          <w:rFonts w:cs="Arial"/>
          <w:lang w:val="en-US"/>
        </w:rPr>
      </w:r>
      <w:r w:rsidR="003833FE">
        <w:rPr>
          <w:rFonts w:cs="Arial"/>
          <w:lang w:val="en-US"/>
        </w:rPr>
        <w:fldChar w:fldCharType="separate"/>
      </w:r>
      <w:r w:rsidR="003833FE" w:rsidRPr="003833FE">
        <w:rPr>
          <w:lang w:val="en-US"/>
        </w:rPr>
        <w:t xml:space="preserve">Table </w:t>
      </w:r>
      <w:r w:rsidR="003833FE" w:rsidRPr="003833FE">
        <w:rPr>
          <w:noProof/>
          <w:lang w:val="en-US"/>
        </w:rPr>
        <w:t>2</w:t>
      </w:r>
      <w:r w:rsidR="003833FE">
        <w:rPr>
          <w:rFonts w:cs="Arial"/>
          <w:lang w:val="en-US"/>
        </w:rPr>
        <w:fldChar w:fldCharType="end"/>
      </w:r>
      <w:r w:rsidR="00CB47B7" w:rsidRPr="0009356D">
        <w:rPr>
          <w:rFonts w:cs="Arial"/>
          <w:lang w:val="en-US"/>
        </w:rPr>
        <w:t>.</w:t>
      </w:r>
      <w:r w:rsidR="00DD345C" w:rsidRPr="0009356D">
        <w:rPr>
          <w:rFonts w:cs="Arial"/>
          <w:lang w:val="en-US"/>
        </w:rPr>
        <w:t xml:space="preserve"> </w:t>
      </w:r>
    </w:p>
    <w:p w:rsidR="00CB47B7" w:rsidRDefault="00CB47B7" w:rsidP="00DD345C">
      <w:pPr>
        <w:jc w:val="both"/>
        <w:rPr>
          <w:rFonts w:ascii="Arial" w:hAnsi="Arial" w:cs="Arial"/>
          <w:lang w:val="en-US"/>
        </w:rPr>
      </w:pPr>
    </w:p>
    <w:p w:rsidR="00CB47B7" w:rsidRDefault="00CB47B7" w:rsidP="00DD345C">
      <w:pPr>
        <w:jc w:val="both"/>
        <w:rPr>
          <w:rFonts w:ascii="Arial" w:hAnsi="Arial" w:cs="Arial"/>
          <w:lang w:val="en-US"/>
        </w:rPr>
      </w:pPr>
    </w:p>
    <w:p w:rsidR="00CB47B7" w:rsidRDefault="00CB47B7" w:rsidP="00DD345C">
      <w:pPr>
        <w:jc w:val="both"/>
        <w:rPr>
          <w:rFonts w:ascii="Arial" w:hAnsi="Arial" w:cs="Arial"/>
          <w:lang w:val="en-US"/>
        </w:rPr>
      </w:pPr>
    </w:p>
    <w:p w:rsidR="00CB47B7" w:rsidRDefault="00CB47B7" w:rsidP="00DD345C">
      <w:pPr>
        <w:jc w:val="both"/>
        <w:rPr>
          <w:rFonts w:ascii="Arial" w:hAnsi="Arial" w:cs="Arial"/>
          <w:lang w:val="en-US"/>
        </w:rPr>
      </w:pPr>
    </w:p>
    <w:p w:rsidR="00CB47B7" w:rsidRDefault="00CB47B7" w:rsidP="00DD345C">
      <w:pPr>
        <w:jc w:val="both"/>
        <w:rPr>
          <w:rFonts w:ascii="Arial" w:hAnsi="Arial" w:cs="Arial"/>
          <w:lang w:val="en-US"/>
        </w:rPr>
      </w:pPr>
    </w:p>
    <w:p w:rsidR="0071424E" w:rsidRDefault="0071424E" w:rsidP="00DD345C">
      <w:pPr>
        <w:jc w:val="both"/>
        <w:rPr>
          <w:rFonts w:ascii="Arial" w:hAnsi="Arial" w:cs="Arial"/>
          <w:lang w:val="en-US"/>
        </w:rPr>
      </w:pPr>
    </w:p>
    <w:p w:rsidR="00D305E7" w:rsidRPr="001F5ACA" w:rsidRDefault="001F5ACA" w:rsidP="001F5ACA">
      <w:pPr>
        <w:pStyle w:val="Beschriftung"/>
        <w:rPr>
          <w:rFonts w:cs="Arial"/>
          <w:color w:val="auto"/>
          <w:lang w:val="en-US"/>
        </w:rPr>
      </w:pPr>
      <w:bookmarkStart w:id="3" w:name="_Ref484765657"/>
      <w:r w:rsidRPr="007648EE">
        <w:rPr>
          <w:color w:val="auto"/>
          <w:lang w:val="en-US"/>
        </w:rPr>
        <w:lastRenderedPageBreak/>
        <w:t xml:space="preserve">Table </w:t>
      </w:r>
      <w:r w:rsidRPr="001F5ACA">
        <w:rPr>
          <w:color w:val="auto"/>
        </w:rPr>
        <w:fldChar w:fldCharType="begin"/>
      </w:r>
      <w:r w:rsidRPr="007648EE">
        <w:rPr>
          <w:color w:val="auto"/>
          <w:lang w:val="en-US"/>
        </w:rPr>
        <w:instrText xml:space="preserve"> SEQ Table \* ARABIC </w:instrText>
      </w:r>
      <w:r w:rsidRPr="001F5ACA">
        <w:rPr>
          <w:color w:val="auto"/>
        </w:rPr>
        <w:fldChar w:fldCharType="separate"/>
      </w:r>
      <w:r w:rsidR="00A758AE" w:rsidRPr="007648EE">
        <w:rPr>
          <w:noProof/>
          <w:color w:val="auto"/>
          <w:lang w:val="en-US"/>
        </w:rPr>
        <w:t>1</w:t>
      </w:r>
      <w:r w:rsidRPr="001F5ACA">
        <w:rPr>
          <w:color w:val="auto"/>
        </w:rPr>
        <w:fldChar w:fldCharType="end"/>
      </w:r>
      <w:bookmarkEnd w:id="3"/>
      <w:r w:rsidR="00B078AC" w:rsidRPr="001F5ACA">
        <w:rPr>
          <w:rFonts w:cs="Arial"/>
          <w:color w:val="auto"/>
          <w:lang w:val="en-US"/>
        </w:rPr>
        <w:t xml:space="preserve">. </w:t>
      </w:r>
      <w:r w:rsidR="00B078AC" w:rsidRPr="001F5ACA">
        <w:rPr>
          <w:rFonts w:cs="Arial"/>
          <w:b w:val="0"/>
          <w:color w:val="auto"/>
          <w:lang w:val="en-US"/>
        </w:rPr>
        <w:t xml:space="preserve">GHS-classification along with hazards and precaution statements for the synthesis </w:t>
      </w:r>
      <w:r w:rsidR="00CB47B7" w:rsidRPr="001F5ACA">
        <w:rPr>
          <w:rFonts w:cs="Arial"/>
          <w:b w:val="0"/>
          <w:color w:val="auto"/>
          <w:lang w:val="en-US"/>
        </w:rPr>
        <w:t>of [</w:t>
      </w:r>
      <w:r w:rsidR="00B078AC" w:rsidRPr="001F5ACA">
        <w:rPr>
          <w:rFonts w:cs="Arial"/>
          <w:b w:val="0"/>
          <w:color w:val="auto"/>
          <w:lang w:val="en-US"/>
        </w:rPr>
        <w:t>C4</w:t>
      </w:r>
      <w:r w:rsidR="00B078AC" w:rsidRPr="001F5ACA">
        <w:rPr>
          <w:rFonts w:cs="Arial"/>
          <w:b w:val="0"/>
          <w:color w:val="auto"/>
          <w:lang w:val="en-US"/>
        </w:rPr>
        <w:noBreakHyphen/>
        <w:t>mim</w:t>
      </w:r>
      <w:proofErr w:type="gramStart"/>
      <w:r w:rsidR="00B078AC" w:rsidRPr="001F5ACA">
        <w:rPr>
          <w:rFonts w:cs="Arial"/>
          <w:b w:val="0"/>
          <w:color w:val="auto"/>
          <w:lang w:val="en-US"/>
        </w:rPr>
        <w:t>][</w:t>
      </w:r>
      <w:proofErr w:type="gramEnd"/>
      <w:r w:rsidR="00B078AC" w:rsidRPr="001F5ACA">
        <w:rPr>
          <w:rFonts w:cs="Arial"/>
          <w:b w:val="0"/>
          <w:color w:val="auto"/>
          <w:lang w:val="en-US"/>
        </w:rPr>
        <w:t>Cl].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276"/>
        <w:gridCol w:w="1417"/>
        <w:gridCol w:w="1276"/>
        <w:gridCol w:w="3226"/>
      </w:tblGrid>
      <w:tr w:rsidR="00D305E7" w:rsidRPr="0009356D" w:rsidTr="001F5ACA">
        <w:tc>
          <w:tcPr>
            <w:tcW w:w="2093" w:type="dxa"/>
            <w:tcBorders>
              <w:top w:val="single" w:sz="4" w:space="0" w:color="auto"/>
              <w:bottom w:val="single" w:sz="12" w:space="0" w:color="auto"/>
            </w:tcBorders>
          </w:tcPr>
          <w:p w:rsidR="00D305E7" w:rsidRPr="0009356D" w:rsidRDefault="00CB47B7" w:rsidP="000562E0">
            <w:pPr>
              <w:spacing w:line="360" w:lineRule="auto"/>
              <w:rPr>
                <w:rFonts w:cs="Arial"/>
                <w:lang w:val="en-US"/>
              </w:rPr>
            </w:pPr>
            <w:r w:rsidRPr="0009356D">
              <w:rPr>
                <w:rFonts w:cs="Arial"/>
                <w:lang w:val="en-US"/>
              </w:rPr>
              <w:t>Substance</w:t>
            </w:r>
            <w:r w:rsidR="00D305E7" w:rsidRPr="0009356D">
              <w:rPr>
                <w:rFonts w:cs="Arial"/>
                <w:lang w:val="en-US"/>
              </w:rPr>
              <w:t xml:space="preserve"> name </w:t>
            </w:r>
          </w:p>
        </w:tc>
        <w:tc>
          <w:tcPr>
            <w:tcW w:w="1276" w:type="dxa"/>
            <w:tcBorders>
              <w:top w:val="single" w:sz="4" w:space="0" w:color="auto"/>
              <w:bottom w:val="single" w:sz="12" w:space="0" w:color="auto"/>
            </w:tcBorders>
          </w:tcPr>
          <w:p w:rsidR="00D305E7" w:rsidRPr="0009356D" w:rsidRDefault="00D305E7" w:rsidP="000562E0">
            <w:pPr>
              <w:spacing w:line="360" w:lineRule="auto"/>
              <w:rPr>
                <w:rFonts w:cs="Arial"/>
                <w:lang w:val="en-US"/>
              </w:rPr>
            </w:pPr>
            <w:r w:rsidRPr="0009356D">
              <w:rPr>
                <w:rFonts w:cs="Arial"/>
                <w:lang w:val="en-US"/>
              </w:rPr>
              <w:t>CAS</w:t>
            </w:r>
            <w:r w:rsidR="006B2694" w:rsidRPr="0009356D">
              <w:rPr>
                <w:rFonts w:cs="Arial"/>
                <w:lang w:val="en-US"/>
              </w:rPr>
              <w:t xml:space="preserve"> Number</w:t>
            </w:r>
            <w:r w:rsidRPr="0009356D">
              <w:rPr>
                <w:rFonts w:cs="Arial"/>
                <w:lang w:val="en-US"/>
              </w:rPr>
              <w:t xml:space="preserve"> </w:t>
            </w:r>
          </w:p>
        </w:tc>
        <w:tc>
          <w:tcPr>
            <w:tcW w:w="1417" w:type="dxa"/>
            <w:tcBorders>
              <w:top w:val="single" w:sz="4" w:space="0" w:color="auto"/>
              <w:bottom w:val="single" w:sz="12" w:space="0" w:color="auto"/>
            </w:tcBorders>
          </w:tcPr>
          <w:p w:rsidR="00D305E7" w:rsidRPr="0009356D" w:rsidRDefault="00D305E7" w:rsidP="000562E0">
            <w:pPr>
              <w:spacing w:line="360" w:lineRule="auto"/>
              <w:rPr>
                <w:rFonts w:cs="Arial"/>
                <w:lang w:val="en-US"/>
              </w:rPr>
            </w:pPr>
            <w:r w:rsidRPr="0009356D">
              <w:rPr>
                <w:rFonts w:cs="Arial"/>
                <w:lang w:val="en-US"/>
              </w:rPr>
              <w:t>GHS-classification</w:t>
            </w:r>
          </w:p>
        </w:tc>
        <w:tc>
          <w:tcPr>
            <w:tcW w:w="1276" w:type="dxa"/>
            <w:tcBorders>
              <w:top w:val="single" w:sz="4" w:space="0" w:color="auto"/>
              <w:bottom w:val="single" w:sz="12" w:space="0" w:color="auto"/>
            </w:tcBorders>
          </w:tcPr>
          <w:p w:rsidR="00D305E7" w:rsidRPr="0009356D" w:rsidRDefault="00D305E7" w:rsidP="000562E0">
            <w:pPr>
              <w:spacing w:line="360" w:lineRule="auto"/>
              <w:rPr>
                <w:rFonts w:cs="Arial"/>
                <w:lang w:val="en-US"/>
              </w:rPr>
            </w:pPr>
            <w:r w:rsidRPr="0009356D">
              <w:rPr>
                <w:rFonts w:cs="Arial"/>
                <w:lang w:val="en-US"/>
              </w:rPr>
              <w:t>H-phrases</w:t>
            </w:r>
          </w:p>
        </w:tc>
        <w:tc>
          <w:tcPr>
            <w:tcW w:w="3226" w:type="dxa"/>
            <w:tcBorders>
              <w:top w:val="single" w:sz="4" w:space="0" w:color="auto"/>
              <w:bottom w:val="single" w:sz="12" w:space="0" w:color="auto"/>
            </w:tcBorders>
          </w:tcPr>
          <w:p w:rsidR="00D305E7" w:rsidRPr="0009356D" w:rsidRDefault="00D305E7" w:rsidP="000562E0">
            <w:pPr>
              <w:spacing w:line="360" w:lineRule="auto"/>
              <w:rPr>
                <w:rFonts w:cs="Arial"/>
                <w:lang w:val="en-US"/>
              </w:rPr>
            </w:pPr>
            <w:r w:rsidRPr="0009356D">
              <w:rPr>
                <w:rFonts w:cs="Arial"/>
                <w:lang w:val="en-US"/>
              </w:rPr>
              <w:t>P-phrases</w:t>
            </w:r>
          </w:p>
        </w:tc>
      </w:tr>
      <w:tr w:rsidR="00D305E7" w:rsidRPr="00B1390F" w:rsidTr="001F5ACA">
        <w:tc>
          <w:tcPr>
            <w:tcW w:w="2093" w:type="dxa"/>
            <w:tcBorders>
              <w:top w:val="single" w:sz="12" w:space="0" w:color="auto"/>
            </w:tcBorders>
          </w:tcPr>
          <w:p w:rsidR="00D305E7" w:rsidRPr="0009356D" w:rsidRDefault="00D305E7" w:rsidP="000562E0">
            <w:pPr>
              <w:spacing w:line="360" w:lineRule="auto"/>
              <w:rPr>
                <w:rFonts w:cs="Arial"/>
                <w:lang w:val="en-US"/>
              </w:rPr>
            </w:pPr>
            <w:r w:rsidRPr="0009356D">
              <w:rPr>
                <w:rFonts w:cs="Arial"/>
                <w:lang w:val="en-US"/>
              </w:rPr>
              <w:t>1-methylimidazole</w:t>
            </w:r>
          </w:p>
        </w:tc>
        <w:tc>
          <w:tcPr>
            <w:tcW w:w="1276" w:type="dxa"/>
            <w:tcBorders>
              <w:top w:val="single" w:sz="12" w:space="0" w:color="auto"/>
            </w:tcBorders>
          </w:tcPr>
          <w:p w:rsidR="00D305E7" w:rsidRPr="0009356D" w:rsidRDefault="00D305E7" w:rsidP="000562E0">
            <w:pPr>
              <w:spacing w:line="360" w:lineRule="auto"/>
              <w:rPr>
                <w:rFonts w:cs="Arial"/>
                <w:lang w:val="en-US"/>
              </w:rPr>
            </w:pPr>
            <w:r w:rsidRPr="0009356D">
              <w:rPr>
                <w:rFonts w:cs="Arial"/>
                <w:lang w:val="en-US"/>
              </w:rPr>
              <w:t>616-47-7</w:t>
            </w:r>
          </w:p>
        </w:tc>
        <w:tc>
          <w:tcPr>
            <w:tcW w:w="1417" w:type="dxa"/>
            <w:tcBorders>
              <w:top w:val="single" w:sz="12" w:space="0" w:color="auto"/>
            </w:tcBorders>
          </w:tcPr>
          <w:p w:rsidR="00D305E7" w:rsidRPr="0009356D" w:rsidRDefault="00BF7BF7" w:rsidP="000562E0">
            <w:pPr>
              <w:spacing w:line="360" w:lineRule="auto"/>
              <w:rPr>
                <w:rFonts w:cs="Arial"/>
                <w:lang w:val="en-US"/>
              </w:rPr>
            </w:pPr>
            <w:r w:rsidRPr="0009356D">
              <w:rPr>
                <w:rFonts w:cs="Arial"/>
                <w:lang w:val="en-US"/>
              </w:rPr>
              <w:t>GHS05, GHS06</w:t>
            </w:r>
          </w:p>
        </w:tc>
        <w:tc>
          <w:tcPr>
            <w:tcW w:w="1276" w:type="dxa"/>
            <w:tcBorders>
              <w:top w:val="single" w:sz="12" w:space="0" w:color="auto"/>
            </w:tcBorders>
          </w:tcPr>
          <w:p w:rsidR="00D305E7" w:rsidRPr="0009356D" w:rsidRDefault="000562E0" w:rsidP="000562E0">
            <w:pPr>
              <w:spacing w:line="360" w:lineRule="auto"/>
              <w:rPr>
                <w:rFonts w:cs="Arial"/>
                <w:lang w:val="en-US"/>
              </w:rPr>
            </w:pPr>
            <w:r w:rsidRPr="0009356D">
              <w:rPr>
                <w:rFonts w:cs="Arial"/>
                <w:lang w:val="en-US"/>
              </w:rPr>
              <w:t>H302-H311-H314</w:t>
            </w:r>
          </w:p>
        </w:tc>
        <w:tc>
          <w:tcPr>
            <w:tcW w:w="3226" w:type="dxa"/>
            <w:tcBorders>
              <w:top w:val="single" w:sz="12" w:space="0" w:color="auto"/>
            </w:tcBorders>
          </w:tcPr>
          <w:p w:rsidR="00D305E7" w:rsidRPr="0009356D" w:rsidRDefault="000562E0" w:rsidP="000562E0">
            <w:pPr>
              <w:spacing w:line="360" w:lineRule="auto"/>
              <w:rPr>
                <w:rFonts w:cs="Arial"/>
                <w:lang w:val="en-US"/>
              </w:rPr>
            </w:pPr>
            <w:r w:rsidRPr="0009356D">
              <w:rPr>
                <w:rFonts w:cs="Arial"/>
                <w:lang w:val="en-US"/>
              </w:rPr>
              <w:t>P280-P301 + P312 + P330-P303 + P361 + P353-P304 + P340 + P310-P305 + P351 + P338</w:t>
            </w:r>
          </w:p>
        </w:tc>
      </w:tr>
      <w:tr w:rsidR="00D305E7" w:rsidRPr="0009356D" w:rsidTr="001F5ACA">
        <w:tc>
          <w:tcPr>
            <w:tcW w:w="2093" w:type="dxa"/>
          </w:tcPr>
          <w:p w:rsidR="00D305E7" w:rsidRPr="0009356D" w:rsidRDefault="00D305E7" w:rsidP="000562E0">
            <w:pPr>
              <w:spacing w:line="360" w:lineRule="auto"/>
              <w:rPr>
                <w:rFonts w:cs="Arial"/>
                <w:lang w:val="en-US"/>
              </w:rPr>
            </w:pPr>
            <w:r w:rsidRPr="0009356D">
              <w:rPr>
                <w:rFonts w:cs="Arial"/>
                <w:lang w:val="en-US"/>
              </w:rPr>
              <w:t>1-chlorobutane</w:t>
            </w:r>
          </w:p>
        </w:tc>
        <w:tc>
          <w:tcPr>
            <w:tcW w:w="1276" w:type="dxa"/>
          </w:tcPr>
          <w:p w:rsidR="00D305E7" w:rsidRPr="0009356D" w:rsidRDefault="00D305E7" w:rsidP="000562E0">
            <w:pPr>
              <w:spacing w:line="360" w:lineRule="auto"/>
              <w:rPr>
                <w:rFonts w:cs="Arial"/>
                <w:lang w:val="en-US"/>
              </w:rPr>
            </w:pPr>
            <w:r w:rsidRPr="0009356D">
              <w:rPr>
                <w:rFonts w:cs="Arial"/>
                <w:lang w:val="en-US"/>
              </w:rPr>
              <w:t>109-69-3</w:t>
            </w:r>
          </w:p>
        </w:tc>
        <w:tc>
          <w:tcPr>
            <w:tcW w:w="1417" w:type="dxa"/>
          </w:tcPr>
          <w:p w:rsidR="00D305E7" w:rsidRPr="0009356D" w:rsidRDefault="00D305E7" w:rsidP="000562E0">
            <w:pPr>
              <w:spacing w:line="360" w:lineRule="auto"/>
              <w:rPr>
                <w:rFonts w:cs="Arial"/>
                <w:lang w:val="en-US"/>
              </w:rPr>
            </w:pPr>
            <w:r w:rsidRPr="0009356D">
              <w:rPr>
                <w:rFonts w:cs="Arial"/>
                <w:lang w:val="en-US"/>
              </w:rPr>
              <w:t>GHS02</w:t>
            </w:r>
          </w:p>
        </w:tc>
        <w:tc>
          <w:tcPr>
            <w:tcW w:w="1276" w:type="dxa"/>
          </w:tcPr>
          <w:p w:rsidR="00D305E7" w:rsidRPr="0009356D" w:rsidRDefault="00D305E7" w:rsidP="000562E0">
            <w:pPr>
              <w:spacing w:line="360" w:lineRule="auto"/>
              <w:rPr>
                <w:rFonts w:cs="Arial"/>
                <w:lang w:val="en-US"/>
              </w:rPr>
            </w:pPr>
            <w:r w:rsidRPr="0009356D">
              <w:rPr>
                <w:rFonts w:cs="Arial"/>
                <w:lang w:val="en-US"/>
              </w:rPr>
              <w:t>H225</w:t>
            </w:r>
          </w:p>
        </w:tc>
        <w:tc>
          <w:tcPr>
            <w:tcW w:w="3226" w:type="dxa"/>
          </w:tcPr>
          <w:p w:rsidR="00D305E7" w:rsidRPr="0009356D" w:rsidRDefault="00D305E7" w:rsidP="000562E0">
            <w:pPr>
              <w:spacing w:line="360" w:lineRule="auto"/>
              <w:rPr>
                <w:rFonts w:cs="Arial"/>
                <w:lang w:val="en-US"/>
              </w:rPr>
            </w:pPr>
            <w:r w:rsidRPr="0009356D">
              <w:rPr>
                <w:rFonts w:cs="Arial"/>
                <w:lang w:val="en-US"/>
              </w:rPr>
              <w:t>P210</w:t>
            </w:r>
          </w:p>
        </w:tc>
      </w:tr>
      <w:tr w:rsidR="00D305E7" w:rsidRPr="0009356D" w:rsidTr="001F5ACA">
        <w:tc>
          <w:tcPr>
            <w:tcW w:w="2093" w:type="dxa"/>
          </w:tcPr>
          <w:p w:rsidR="00D305E7" w:rsidRPr="0009356D" w:rsidRDefault="00925332" w:rsidP="000562E0">
            <w:pPr>
              <w:spacing w:line="360" w:lineRule="auto"/>
              <w:rPr>
                <w:rFonts w:cs="Arial"/>
                <w:lang w:val="en-US"/>
              </w:rPr>
            </w:pPr>
            <w:r w:rsidRPr="0009356D">
              <w:rPr>
                <w:rFonts w:cs="Arial"/>
                <w:lang w:val="en-US"/>
              </w:rPr>
              <w:t>e</w:t>
            </w:r>
            <w:r w:rsidR="000562E0" w:rsidRPr="0009356D">
              <w:rPr>
                <w:rFonts w:cs="Arial"/>
                <w:lang w:val="en-US"/>
              </w:rPr>
              <w:t>thyl acetate</w:t>
            </w:r>
          </w:p>
        </w:tc>
        <w:tc>
          <w:tcPr>
            <w:tcW w:w="1276" w:type="dxa"/>
          </w:tcPr>
          <w:p w:rsidR="00D305E7" w:rsidRPr="0009356D" w:rsidRDefault="000562E0" w:rsidP="000562E0">
            <w:pPr>
              <w:spacing w:line="360" w:lineRule="auto"/>
              <w:rPr>
                <w:rFonts w:cs="Arial"/>
                <w:lang w:val="en-US"/>
              </w:rPr>
            </w:pPr>
            <w:r w:rsidRPr="0009356D">
              <w:rPr>
                <w:rFonts w:cs="Arial"/>
                <w:lang w:val="en-US"/>
              </w:rPr>
              <w:t>141-78-6</w:t>
            </w:r>
          </w:p>
        </w:tc>
        <w:tc>
          <w:tcPr>
            <w:tcW w:w="1417" w:type="dxa"/>
          </w:tcPr>
          <w:p w:rsidR="00D305E7" w:rsidRPr="0009356D" w:rsidRDefault="000562E0" w:rsidP="000562E0">
            <w:pPr>
              <w:spacing w:line="360" w:lineRule="auto"/>
              <w:rPr>
                <w:rFonts w:cs="Arial"/>
                <w:lang w:val="en-US"/>
              </w:rPr>
            </w:pPr>
            <w:r w:rsidRPr="0009356D">
              <w:rPr>
                <w:rFonts w:cs="Arial"/>
                <w:lang w:val="en-US"/>
              </w:rPr>
              <w:t>GHS02, GHS07</w:t>
            </w:r>
          </w:p>
        </w:tc>
        <w:tc>
          <w:tcPr>
            <w:tcW w:w="1276" w:type="dxa"/>
          </w:tcPr>
          <w:p w:rsidR="00D305E7" w:rsidRPr="0009356D" w:rsidRDefault="000562E0" w:rsidP="000562E0">
            <w:pPr>
              <w:spacing w:line="360" w:lineRule="auto"/>
              <w:rPr>
                <w:rFonts w:cs="Arial"/>
                <w:lang w:val="en-US"/>
              </w:rPr>
            </w:pPr>
            <w:r w:rsidRPr="0009356D">
              <w:rPr>
                <w:rFonts w:cs="Arial"/>
                <w:lang w:val="en-US"/>
              </w:rPr>
              <w:t>H225-H319-H336</w:t>
            </w:r>
          </w:p>
        </w:tc>
        <w:tc>
          <w:tcPr>
            <w:tcW w:w="3226" w:type="dxa"/>
          </w:tcPr>
          <w:p w:rsidR="00D305E7" w:rsidRPr="0009356D" w:rsidRDefault="000562E0" w:rsidP="000562E0">
            <w:pPr>
              <w:spacing w:line="360" w:lineRule="auto"/>
              <w:rPr>
                <w:rFonts w:cs="Arial"/>
                <w:lang w:val="en-US"/>
              </w:rPr>
            </w:pPr>
            <w:r w:rsidRPr="0009356D">
              <w:rPr>
                <w:rFonts w:cs="Arial"/>
                <w:lang w:val="en-US"/>
              </w:rPr>
              <w:t>P210-P305 + P351 + P338-P370 + P378-P403 + P235</w:t>
            </w:r>
          </w:p>
        </w:tc>
      </w:tr>
      <w:tr w:rsidR="00CB47B7" w:rsidRPr="00B1390F" w:rsidTr="001F5ACA">
        <w:tc>
          <w:tcPr>
            <w:tcW w:w="2093" w:type="dxa"/>
            <w:tcBorders>
              <w:bottom w:val="single" w:sz="4" w:space="0" w:color="auto"/>
            </w:tcBorders>
          </w:tcPr>
          <w:p w:rsidR="00CB47B7" w:rsidRPr="0009356D" w:rsidRDefault="00CB47B7" w:rsidP="000562E0">
            <w:pPr>
              <w:spacing w:line="360" w:lineRule="auto"/>
              <w:rPr>
                <w:rFonts w:cs="Arial"/>
                <w:lang w:val="en-US"/>
              </w:rPr>
            </w:pPr>
            <w:r w:rsidRPr="0009356D">
              <w:rPr>
                <w:rFonts w:cs="Arial"/>
                <w:lang w:val="en-US"/>
              </w:rPr>
              <w:t>[C4</w:t>
            </w:r>
            <w:r w:rsidRPr="0009356D">
              <w:rPr>
                <w:rFonts w:cs="Arial"/>
                <w:lang w:val="en-US"/>
              </w:rPr>
              <w:noBreakHyphen/>
              <w:t>mim][Cl]</w:t>
            </w:r>
          </w:p>
        </w:tc>
        <w:tc>
          <w:tcPr>
            <w:tcW w:w="1276" w:type="dxa"/>
            <w:tcBorders>
              <w:bottom w:val="single" w:sz="4" w:space="0" w:color="auto"/>
            </w:tcBorders>
          </w:tcPr>
          <w:p w:rsidR="00CB47B7" w:rsidRPr="0009356D" w:rsidRDefault="00CB47B7" w:rsidP="000562E0">
            <w:pPr>
              <w:spacing w:line="360" w:lineRule="auto"/>
              <w:rPr>
                <w:rFonts w:cs="Arial"/>
                <w:lang w:val="en-US"/>
              </w:rPr>
            </w:pPr>
            <w:r w:rsidRPr="0009356D">
              <w:rPr>
                <w:rFonts w:cs="Arial"/>
                <w:lang w:val="en-US"/>
              </w:rPr>
              <w:t>79917-90-1</w:t>
            </w:r>
          </w:p>
        </w:tc>
        <w:tc>
          <w:tcPr>
            <w:tcW w:w="1417" w:type="dxa"/>
            <w:tcBorders>
              <w:bottom w:val="single" w:sz="4" w:space="0" w:color="auto"/>
            </w:tcBorders>
          </w:tcPr>
          <w:p w:rsidR="00CB47B7" w:rsidRPr="0009356D" w:rsidRDefault="00CB47B7" w:rsidP="00B54CD3">
            <w:pPr>
              <w:spacing w:line="360" w:lineRule="auto"/>
              <w:rPr>
                <w:rFonts w:cs="Arial"/>
                <w:lang w:val="en-US"/>
              </w:rPr>
            </w:pPr>
            <w:r w:rsidRPr="0009356D">
              <w:rPr>
                <w:rFonts w:cs="Arial"/>
                <w:lang w:val="en-US"/>
              </w:rPr>
              <w:t>GHS0</w:t>
            </w:r>
            <w:r w:rsidR="00B54CD3" w:rsidRPr="0009356D">
              <w:rPr>
                <w:rFonts w:cs="Arial"/>
                <w:lang w:val="en-US"/>
              </w:rPr>
              <w:t>6, GHS09</w:t>
            </w:r>
          </w:p>
        </w:tc>
        <w:tc>
          <w:tcPr>
            <w:tcW w:w="1276" w:type="dxa"/>
            <w:tcBorders>
              <w:bottom w:val="single" w:sz="4" w:space="0" w:color="auto"/>
            </w:tcBorders>
          </w:tcPr>
          <w:p w:rsidR="00CB47B7" w:rsidRPr="0009356D" w:rsidRDefault="00CB47B7" w:rsidP="000562E0">
            <w:pPr>
              <w:spacing w:line="360" w:lineRule="auto"/>
              <w:rPr>
                <w:rFonts w:cs="Arial"/>
                <w:lang w:val="en-US"/>
              </w:rPr>
            </w:pPr>
            <w:r w:rsidRPr="0009356D">
              <w:rPr>
                <w:rFonts w:cs="Arial"/>
                <w:lang w:val="en-US"/>
              </w:rPr>
              <w:t>H315-H319-H335</w:t>
            </w:r>
          </w:p>
        </w:tc>
        <w:tc>
          <w:tcPr>
            <w:tcW w:w="3226" w:type="dxa"/>
            <w:tcBorders>
              <w:bottom w:val="single" w:sz="4" w:space="0" w:color="auto"/>
            </w:tcBorders>
          </w:tcPr>
          <w:p w:rsidR="00CB47B7" w:rsidRPr="0009356D" w:rsidRDefault="00CB47B7" w:rsidP="000562E0">
            <w:pPr>
              <w:spacing w:line="360" w:lineRule="auto"/>
              <w:rPr>
                <w:rFonts w:cs="Arial"/>
                <w:lang w:val="en-US"/>
              </w:rPr>
            </w:pPr>
            <w:r w:rsidRPr="0009356D">
              <w:rPr>
                <w:rFonts w:cs="Arial"/>
                <w:lang w:val="en-US"/>
              </w:rPr>
              <w:t>P261-P280-P305 + P351 + P338-P304 + P340-P362-P312-P321-P405-P403 + P233-P501a</w:t>
            </w:r>
          </w:p>
        </w:tc>
      </w:tr>
    </w:tbl>
    <w:p w:rsidR="00D305E7" w:rsidRPr="0009356D" w:rsidRDefault="00D305E7">
      <w:pPr>
        <w:rPr>
          <w:rFonts w:cs="Arial"/>
          <w:lang w:val="en-US"/>
        </w:rPr>
      </w:pPr>
    </w:p>
    <w:p w:rsidR="009A77B1" w:rsidRPr="003833FE" w:rsidRDefault="003833FE" w:rsidP="003833FE">
      <w:pPr>
        <w:pStyle w:val="Beschriftung"/>
        <w:rPr>
          <w:rFonts w:cs="Arial"/>
          <w:b w:val="0"/>
          <w:color w:val="auto"/>
          <w:lang w:val="en-US"/>
        </w:rPr>
      </w:pPr>
      <w:bookmarkStart w:id="4" w:name="_Ref484765991"/>
      <w:r w:rsidRPr="003833FE">
        <w:rPr>
          <w:color w:val="auto"/>
          <w:lang w:val="en-US"/>
        </w:rPr>
        <w:t xml:space="preserve">Table </w:t>
      </w:r>
      <w:r w:rsidRPr="003833FE">
        <w:rPr>
          <w:color w:val="auto"/>
        </w:rPr>
        <w:fldChar w:fldCharType="begin"/>
      </w:r>
      <w:r w:rsidRPr="003833FE">
        <w:rPr>
          <w:color w:val="auto"/>
          <w:lang w:val="en-US"/>
        </w:rPr>
        <w:instrText xml:space="preserve"> SEQ Table \* ARABIC </w:instrText>
      </w:r>
      <w:r w:rsidRPr="003833FE">
        <w:rPr>
          <w:color w:val="auto"/>
        </w:rPr>
        <w:fldChar w:fldCharType="separate"/>
      </w:r>
      <w:r w:rsidR="00A758AE">
        <w:rPr>
          <w:noProof/>
          <w:color w:val="auto"/>
          <w:lang w:val="en-US"/>
        </w:rPr>
        <w:t>2</w:t>
      </w:r>
      <w:r w:rsidRPr="003833FE">
        <w:rPr>
          <w:color w:val="auto"/>
        </w:rPr>
        <w:fldChar w:fldCharType="end"/>
      </w:r>
      <w:bookmarkEnd w:id="4"/>
      <w:r w:rsidRPr="003833FE">
        <w:rPr>
          <w:color w:val="auto"/>
          <w:lang w:val="en-US"/>
        </w:rPr>
        <w:t>.</w:t>
      </w:r>
      <w:r w:rsidR="00CB47B7" w:rsidRPr="003833FE">
        <w:rPr>
          <w:rFonts w:cs="Arial"/>
          <w:color w:val="auto"/>
          <w:lang w:val="en-US"/>
        </w:rPr>
        <w:t xml:space="preserve"> </w:t>
      </w:r>
      <w:r w:rsidR="00CB47B7" w:rsidRPr="003833FE">
        <w:rPr>
          <w:rFonts w:cs="Arial"/>
          <w:b w:val="0"/>
          <w:color w:val="auto"/>
          <w:lang w:val="en-US"/>
        </w:rPr>
        <w:t xml:space="preserve">Amount of </w:t>
      </w:r>
      <w:r w:rsidR="003F0053" w:rsidRPr="003833FE">
        <w:rPr>
          <w:rFonts w:cs="Arial"/>
          <w:b w:val="0"/>
          <w:color w:val="auto"/>
          <w:lang w:val="en-US"/>
        </w:rPr>
        <w:t xml:space="preserve">substances </w:t>
      </w:r>
      <w:r w:rsidR="00CB47B7" w:rsidRPr="003833FE">
        <w:rPr>
          <w:rFonts w:cs="Arial"/>
          <w:b w:val="0"/>
          <w:color w:val="auto"/>
          <w:lang w:val="en-US"/>
        </w:rPr>
        <w:t>for the synthesis of [C4</w:t>
      </w:r>
      <w:r w:rsidR="00CB47B7" w:rsidRPr="003833FE">
        <w:rPr>
          <w:rFonts w:cs="Arial"/>
          <w:b w:val="0"/>
          <w:color w:val="auto"/>
          <w:lang w:val="en-US"/>
        </w:rPr>
        <w:noBreakHyphen/>
        <w:t>mim][Cl] calculated for 100 g theoretical yield.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417"/>
        <w:gridCol w:w="1276"/>
        <w:gridCol w:w="1559"/>
        <w:gridCol w:w="851"/>
        <w:gridCol w:w="992"/>
        <w:gridCol w:w="992"/>
      </w:tblGrid>
      <w:tr w:rsidR="00D305E7" w:rsidRPr="003833FE" w:rsidTr="00CB47B7">
        <w:tc>
          <w:tcPr>
            <w:tcW w:w="2093" w:type="dxa"/>
            <w:tcBorders>
              <w:top w:val="single" w:sz="4" w:space="0" w:color="auto"/>
              <w:bottom w:val="single" w:sz="12" w:space="0" w:color="auto"/>
            </w:tcBorders>
          </w:tcPr>
          <w:p w:rsidR="009A77B1" w:rsidRPr="0009356D" w:rsidRDefault="009A77B1" w:rsidP="00CB47B7">
            <w:pPr>
              <w:spacing w:line="360" w:lineRule="auto"/>
              <w:rPr>
                <w:rFonts w:cs="Arial"/>
                <w:lang w:val="en-US"/>
              </w:rPr>
            </w:pPr>
            <w:r w:rsidRPr="0009356D">
              <w:rPr>
                <w:rFonts w:cs="Arial"/>
                <w:lang w:val="en-US"/>
              </w:rPr>
              <w:t>Substance name</w:t>
            </w:r>
          </w:p>
        </w:tc>
        <w:tc>
          <w:tcPr>
            <w:tcW w:w="1417" w:type="dxa"/>
            <w:tcBorders>
              <w:top w:val="single" w:sz="4" w:space="0" w:color="auto"/>
              <w:bottom w:val="single" w:sz="12" w:space="0" w:color="auto"/>
            </w:tcBorders>
          </w:tcPr>
          <w:p w:rsidR="009A77B1" w:rsidRPr="0009356D" w:rsidRDefault="009A77B1" w:rsidP="00CB47B7">
            <w:pPr>
              <w:spacing w:line="360" w:lineRule="auto"/>
              <w:rPr>
                <w:rFonts w:cs="Arial"/>
                <w:lang w:val="en-US"/>
              </w:rPr>
            </w:pPr>
            <w:r w:rsidRPr="0009356D">
              <w:rPr>
                <w:rFonts w:cs="Arial"/>
                <w:lang w:val="en-US"/>
              </w:rPr>
              <w:t>Equivalents</w:t>
            </w:r>
          </w:p>
        </w:tc>
        <w:tc>
          <w:tcPr>
            <w:tcW w:w="1276" w:type="dxa"/>
            <w:tcBorders>
              <w:top w:val="single" w:sz="4" w:space="0" w:color="auto"/>
              <w:bottom w:val="single" w:sz="12" w:space="0" w:color="auto"/>
            </w:tcBorders>
          </w:tcPr>
          <w:p w:rsidR="009A77B1" w:rsidRPr="0009356D" w:rsidRDefault="009A77B1" w:rsidP="00CB47B7">
            <w:pPr>
              <w:spacing w:line="360" w:lineRule="auto"/>
              <w:rPr>
                <w:rFonts w:cs="Arial"/>
                <w:lang w:val="en-US"/>
              </w:rPr>
            </w:pPr>
            <w:r w:rsidRPr="0009356D">
              <w:rPr>
                <w:rFonts w:cs="Arial"/>
                <w:lang w:val="en-US"/>
              </w:rPr>
              <w:t>Molar mass</w:t>
            </w:r>
          </w:p>
          <w:p w:rsidR="00D305E7" w:rsidRPr="0009356D" w:rsidRDefault="00D305E7" w:rsidP="00CB47B7">
            <w:pPr>
              <w:spacing w:line="360" w:lineRule="auto"/>
              <w:rPr>
                <w:rFonts w:cs="Arial"/>
                <w:lang w:val="en-US"/>
              </w:rPr>
            </w:pPr>
            <w:r w:rsidRPr="0009356D">
              <w:rPr>
                <w:rFonts w:cs="Arial"/>
                <w:lang w:val="en-US"/>
              </w:rPr>
              <w:t>[g/</w:t>
            </w:r>
            <w:proofErr w:type="spellStart"/>
            <w:r w:rsidRPr="0009356D">
              <w:rPr>
                <w:rFonts w:cs="Arial"/>
                <w:lang w:val="en-US"/>
              </w:rPr>
              <w:t>mol</w:t>
            </w:r>
            <w:proofErr w:type="spellEnd"/>
            <w:r w:rsidRPr="0009356D">
              <w:rPr>
                <w:rFonts w:cs="Arial"/>
                <w:lang w:val="en-US"/>
              </w:rPr>
              <w:t>]</w:t>
            </w:r>
          </w:p>
        </w:tc>
        <w:tc>
          <w:tcPr>
            <w:tcW w:w="1559" w:type="dxa"/>
            <w:tcBorders>
              <w:top w:val="single" w:sz="4" w:space="0" w:color="auto"/>
              <w:bottom w:val="single" w:sz="12" w:space="0" w:color="auto"/>
            </w:tcBorders>
          </w:tcPr>
          <w:p w:rsidR="009A77B1" w:rsidRPr="0009356D" w:rsidRDefault="009A77B1" w:rsidP="00CB47B7">
            <w:pPr>
              <w:spacing w:line="360" w:lineRule="auto"/>
              <w:rPr>
                <w:rFonts w:cs="Arial"/>
                <w:lang w:val="en-US"/>
              </w:rPr>
            </w:pPr>
            <w:r w:rsidRPr="0009356D">
              <w:rPr>
                <w:rFonts w:cs="Arial"/>
                <w:lang w:val="en-US"/>
              </w:rPr>
              <w:t xml:space="preserve">Amount of substance </w:t>
            </w:r>
            <w:r w:rsidR="00D305E7" w:rsidRPr="0009356D">
              <w:rPr>
                <w:rFonts w:cs="Arial"/>
                <w:lang w:val="en-US"/>
              </w:rPr>
              <w:t>[</w:t>
            </w:r>
            <w:proofErr w:type="spellStart"/>
            <w:r w:rsidR="00D305E7" w:rsidRPr="0009356D">
              <w:rPr>
                <w:rFonts w:cs="Arial"/>
                <w:lang w:val="en-US"/>
              </w:rPr>
              <w:t>mmol</w:t>
            </w:r>
            <w:proofErr w:type="spellEnd"/>
            <w:r w:rsidR="00D305E7" w:rsidRPr="0009356D">
              <w:rPr>
                <w:rFonts w:cs="Arial"/>
                <w:lang w:val="en-US"/>
              </w:rPr>
              <w:t>]</w:t>
            </w:r>
          </w:p>
        </w:tc>
        <w:tc>
          <w:tcPr>
            <w:tcW w:w="851" w:type="dxa"/>
            <w:tcBorders>
              <w:top w:val="single" w:sz="4" w:space="0" w:color="auto"/>
              <w:bottom w:val="single" w:sz="12" w:space="0" w:color="auto"/>
            </w:tcBorders>
          </w:tcPr>
          <w:p w:rsidR="009A77B1" w:rsidRPr="0009356D" w:rsidRDefault="009A77B1" w:rsidP="00CB47B7">
            <w:pPr>
              <w:spacing w:line="360" w:lineRule="auto"/>
              <w:rPr>
                <w:rFonts w:cs="Arial"/>
                <w:lang w:val="en-US"/>
              </w:rPr>
            </w:pPr>
            <w:r w:rsidRPr="0009356D">
              <w:rPr>
                <w:rFonts w:cs="Arial"/>
                <w:lang w:val="en-US"/>
              </w:rPr>
              <w:t>Mass</w:t>
            </w:r>
          </w:p>
          <w:p w:rsidR="00D305E7" w:rsidRPr="0009356D" w:rsidRDefault="00D305E7" w:rsidP="00CB47B7">
            <w:pPr>
              <w:spacing w:line="360" w:lineRule="auto"/>
              <w:rPr>
                <w:rFonts w:cs="Arial"/>
                <w:lang w:val="en-US"/>
              </w:rPr>
            </w:pPr>
            <w:r w:rsidRPr="0009356D">
              <w:rPr>
                <w:rFonts w:cs="Arial"/>
                <w:lang w:val="en-US"/>
              </w:rPr>
              <w:t>[g]</w:t>
            </w:r>
          </w:p>
        </w:tc>
        <w:tc>
          <w:tcPr>
            <w:tcW w:w="992" w:type="dxa"/>
            <w:tcBorders>
              <w:top w:val="single" w:sz="4" w:space="0" w:color="auto"/>
              <w:bottom w:val="single" w:sz="12" w:space="0" w:color="auto"/>
            </w:tcBorders>
          </w:tcPr>
          <w:p w:rsidR="00D305E7" w:rsidRPr="0009356D" w:rsidRDefault="009A77B1" w:rsidP="00CB47B7">
            <w:pPr>
              <w:spacing w:line="360" w:lineRule="auto"/>
              <w:rPr>
                <w:rFonts w:cs="Arial"/>
                <w:lang w:val="en-US"/>
              </w:rPr>
            </w:pPr>
            <w:r w:rsidRPr="0009356D">
              <w:rPr>
                <w:rFonts w:cs="Arial"/>
                <w:lang w:val="en-US"/>
              </w:rPr>
              <w:t>Density</w:t>
            </w:r>
          </w:p>
          <w:p w:rsidR="009A77B1" w:rsidRPr="0009356D" w:rsidRDefault="00D305E7" w:rsidP="00CB47B7">
            <w:pPr>
              <w:spacing w:line="360" w:lineRule="auto"/>
              <w:rPr>
                <w:rFonts w:cs="Arial"/>
                <w:lang w:val="en-US"/>
              </w:rPr>
            </w:pPr>
            <w:r w:rsidRPr="0009356D">
              <w:rPr>
                <w:rFonts w:cs="Arial"/>
                <w:lang w:val="en-US"/>
              </w:rPr>
              <w:t>[g/mL]</w:t>
            </w:r>
            <w:r w:rsidR="009A77B1" w:rsidRPr="0009356D">
              <w:rPr>
                <w:rFonts w:cs="Arial"/>
                <w:lang w:val="en-US"/>
              </w:rPr>
              <w:t xml:space="preserve"> </w:t>
            </w:r>
          </w:p>
        </w:tc>
        <w:tc>
          <w:tcPr>
            <w:tcW w:w="992" w:type="dxa"/>
            <w:tcBorders>
              <w:top w:val="single" w:sz="4" w:space="0" w:color="auto"/>
              <w:bottom w:val="single" w:sz="12" w:space="0" w:color="auto"/>
            </w:tcBorders>
          </w:tcPr>
          <w:p w:rsidR="009A77B1" w:rsidRPr="0009356D" w:rsidRDefault="009A77B1" w:rsidP="00CB47B7">
            <w:pPr>
              <w:spacing w:line="360" w:lineRule="auto"/>
              <w:rPr>
                <w:rFonts w:cs="Arial"/>
                <w:lang w:val="en-US"/>
              </w:rPr>
            </w:pPr>
            <w:r w:rsidRPr="0009356D">
              <w:rPr>
                <w:rFonts w:cs="Arial"/>
                <w:lang w:val="en-US"/>
              </w:rPr>
              <w:t>Volume</w:t>
            </w:r>
            <w:r w:rsidR="00D305E7" w:rsidRPr="0009356D">
              <w:rPr>
                <w:rFonts w:cs="Arial"/>
                <w:lang w:val="en-US"/>
              </w:rPr>
              <w:t xml:space="preserve"> </w:t>
            </w:r>
          </w:p>
          <w:p w:rsidR="00D305E7" w:rsidRPr="0009356D" w:rsidRDefault="00D305E7" w:rsidP="00CB47B7">
            <w:pPr>
              <w:spacing w:line="360" w:lineRule="auto"/>
              <w:rPr>
                <w:rFonts w:cs="Arial"/>
                <w:lang w:val="en-US"/>
              </w:rPr>
            </w:pPr>
            <w:r w:rsidRPr="0009356D">
              <w:rPr>
                <w:rFonts w:cs="Arial"/>
                <w:lang w:val="en-US"/>
              </w:rPr>
              <w:t>[mL]</w:t>
            </w:r>
          </w:p>
        </w:tc>
      </w:tr>
      <w:tr w:rsidR="00D305E7" w:rsidRPr="0009356D" w:rsidTr="00CB47B7">
        <w:tc>
          <w:tcPr>
            <w:tcW w:w="2093" w:type="dxa"/>
            <w:tcBorders>
              <w:top w:val="single" w:sz="12" w:space="0" w:color="auto"/>
            </w:tcBorders>
          </w:tcPr>
          <w:p w:rsidR="009A77B1" w:rsidRPr="0009356D" w:rsidRDefault="009A77B1" w:rsidP="00CB47B7">
            <w:pPr>
              <w:spacing w:line="360" w:lineRule="auto"/>
              <w:rPr>
                <w:rFonts w:cs="Arial"/>
                <w:lang w:val="en-US"/>
              </w:rPr>
            </w:pPr>
            <w:r w:rsidRPr="0009356D">
              <w:rPr>
                <w:rFonts w:cs="Arial"/>
                <w:lang w:val="en-US"/>
              </w:rPr>
              <w:t>1-methylimidazole</w:t>
            </w:r>
          </w:p>
        </w:tc>
        <w:tc>
          <w:tcPr>
            <w:tcW w:w="1417" w:type="dxa"/>
            <w:tcBorders>
              <w:top w:val="single" w:sz="12" w:space="0" w:color="auto"/>
            </w:tcBorders>
          </w:tcPr>
          <w:p w:rsidR="009A77B1" w:rsidRPr="0009356D" w:rsidRDefault="009A77B1" w:rsidP="00CB47B7">
            <w:pPr>
              <w:spacing w:line="360" w:lineRule="auto"/>
              <w:rPr>
                <w:rFonts w:cs="Arial"/>
                <w:lang w:val="en-US"/>
              </w:rPr>
            </w:pPr>
            <w:r w:rsidRPr="0009356D">
              <w:rPr>
                <w:rFonts w:cs="Arial"/>
                <w:lang w:val="en-US"/>
              </w:rPr>
              <w:t>1.00</w:t>
            </w:r>
          </w:p>
        </w:tc>
        <w:tc>
          <w:tcPr>
            <w:tcW w:w="1276" w:type="dxa"/>
            <w:tcBorders>
              <w:top w:val="single" w:sz="12" w:space="0" w:color="auto"/>
            </w:tcBorders>
          </w:tcPr>
          <w:p w:rsidR="009A77B1" w:rsidRPr="0009356D" w:rsidRDefault="000562E0" w:rsidP="00CB47B7">
            <w:pPr>
              <w:spacing w:line="360" w:lineRule="auto"/>
              <w:rPr>
                <w:rFonts w:cs="Arial"/>
                <w:lang w:val="en-US"/>
              </w:rPr>
            </w:pPr>
            <w:r w:rsidRPr="0009356D">
              <w:rPr>
                <w:rFonts w:cs="Arial"/>
                <w:lang w:val="en-US"/>
              </w:rPr>
              <w:t>82.10</w:t>
            </w:r>
          </w:p>
        </w:tc>
        <w:tc>
          <w:tcPr>
            <w:tcW w:w="1559" w:type="dxa"/>
            <w:tcBorders>
              <w:top w:val="single" w:sz="12" w:space="0" w:color="auto"/>
            </w:tcBorders>
          </w:tcPr>
          <w:p w:rsidR="009A77B1" w:rsidRPr="0009356D" w:rsidRDefault="000562E0" w:rsidP="00CB47B7">
            <w:pPr>
              <w:spacing w:line="360" w:lineRule="auto"/>
              <w:rPr>
                <w:rFonts w:cs="Arial"/>
                <w:lang w:val="en-US"/>
              </w:rPr>
            </w:pPr>
            <w:r w:rsidRPr="0009356D">
              <w:rPr>
                <w:rFonts w:cs="Arial"/>
                <w:lang w:val="en-US"/>
              </w:rPr>
              <w:t>57.3</w:t>
            </w:r>
          </w:p>
        </w:tc>
        <w:tc>
          <w:tcPr>
            <w:tcW w:w="851" w:type="dxa"/>
            <w:tcBorders>
              <w:top w:val="single" w:sz="12" w:space="0" w:color="auto"/>
            </w:tcBorders>
          </w:tcPr>
          <w:p w:rsidR="009A77B1" w:rsidRPr="0009356D" w:rsidRDefault="000562E0" w:rsidP="00CB47B7">
            <w:pPr>
              <w:spacing w:line="360" w:lineRule="auto"/>
              <w:rPr>
                <w:rFonts w:cs="Arial"/>
                <w:lang w:val="en-US"/>
              </w:rPr>
            </w:pPr>
            <w:r w:rsidRPr="0009356D">
              <w:rPr>
                <w:rFonts w:cs="Arial"/>
                <w:lang w:val="en-US"/>
              </w:rPr>
              <w:t>47.0</w:t>
            </w:r>
          </w:p>
        </w:tc>
        <w:tc>
          <w:tcPr>
            <w:tcW w:w="992" w:type="dxa"/>
            <w:tcBorders>
              <w:top w:val="single" w:sz="12" w:space="0" w:color="auto"/>
            </w:tcBorders>
          </w:tcPr>
          <w:p w:rsidR="009A77B1" w:rsidRPr="0009356D" w:rsidRDefault="000562E0" w:rsidP="00CB47B7">
            <w:pPr>
              <w:spacing w:line="360" w:lineRule="auto"/>
              <w:rPr>
                <w:rFonts w:cs="Arial"/>
                <w:lang w:val="en-US"/>
              </w:rPr>
            </w:pPr>
            <w:r w:rsidRPr="0009356D">
              <w:rPr>
                <w:rFonts w:cs="Arial"/>
                <w:lang w:val="en-US"/>
              </w:rPr>
              <w:t>1.03</w:t>
            </w:r>
          </w:p>
        </w:tc>
        <w:tc>
          <w:tcPr>
            <w:tcW w:w="992" w:type="dxa"/>
            <w:tcBorders>
              <w:top w:val="single" w:sz="12" w:space="0" w:color="auto"/>
            </w:tcBorders>
          </w:tcPr>
          <w:p w:rsidR="009A77B1" w:rsidRPr="0009356D" w:rsidRDefault="000562E0" w:rsidP="00CB47B7">
            <w:pPr>
              <w:spacing w:line="360" w:lineRule="auto"/>
              <w:rPr>
                <w:rFonts w:cs="Arial"/>
                <w:lang w:val="en-US"/>
              </w:rPr>
            </w:pPr>
            <w:r w:rsidRPr="0009356D">
              <w:rPr>
                <w:rFonts w:cs="Arial"/>
                <w:lang w:val="en-US"/>
              </w:rPr>
              <w:t>45.6</w:t>
            </w:r>
          </w:p>
        </w:tc>
      </w:tr>
      <w:tr w:rsidR="00D305E7" w:rsidRPr="0009356D" w:rsidTr="00CB47B7">
        <w:tc>
          <w:tcPr>
            <w:tcW w:w="2093" w:type="dxa"/>
          </w:tcPr>
          <w:p w:rsidR="009A77B1" w:rsidRPr="0009356D" w:rsidRDefault="00D305E7" w:rsidP="00CB47B7">
            <w:pPr>
              <w:spacing w:line="360" w:lineRule="auto"/>
              <w:rPr>
                <w:rFonts w:cs="Arial"/>
                <w:lang w:val="en-US"/>
              </w:rPr>
            </w:pPr>
            <w:r w:rsidRPr="0009356D">
              <w:rPr>
                <w:rFonts w:cs="Arial"/>
                <w:lang w:val="en-US"/>
              </w:rPr>
              <w:t>1-chlorobutane</w:t>
            </w:r>
          </w:p>
        </w:tc>
        <w:tc>
          <w:tcPr>
            <w:tcW w:w="1417" w:type="dxa"/>
          </w:tcPr>
          <w:p w:rsidR="009A77B1" w:rsidRPr="0009356D" w:rsidRDefault="00D305E7" w:rsidP="00CB47B7">
            <w:pPr>
              <w:spacing w:line="360" w:lineRule="auto"/>
              <w:rPr>
                <w:rFonts w:cs="Arial"/>
                <w:lang w:val="en-US"/>
              </w:rPr>
            </w:pPr>
            <w:r w:rsidRPr="0009356D">
              <w:rPr>
                <w:rFonts w:cs="Arial"/>
                <w:lang w:val="en-US"/>
              </w:rPr>
              <w:t>1.20</w:t>
            </w:r>
          </w:p>
        </w:tc>
        <w:tc>
          <w:tcPr>
            <w:tcW w:w="1276" w:type="dxa"/>
          </w:tcPr>
          <w:p w:rsidR="009A77B1" w:rsidRPr="0009356D" w:rsidRDefault="000562E0" w:rsidP="00CB47B7">
            <w:pPr>
              <w:spacing w:line="360" w:lineRule="auto"/>
              <w:rPr>
                <w:rFonts w:cs="Arial"/>
                <w:lang w:val="en-US"/>
              </w:rPr>
            </w:pPr>
            <w:r w:rsidRPr="0009356D">
              <w:rPr>
                <w:rFonts w:cs="Arial"/>
                <w:lang w:val="en-US"/>
              </w:rPr>
              <w:t>92.58</w:t>
            </w:r>
          </w:p>
        </w:tc>
        <w:tc>
          <w:tcPr>
            <w:tcW w:w="1559" w:type="dxa"/>
          </w:tcPr>
          <w:p w:rsidR="009A77B1" w:rsidRPr="0009356D" w:rsidRDefault="000562E0" w:rsidP="00CB47B7">
            <w:pPr>
              <w:spacing w:line="360" w:lineRule="auto"/>
              <w:rPr>
                <w:rFonts w:cs="Arial"/>
                <w:lang w:val="en-US"/>
              </w:rPr>
            </w:pPr>
            <w:r w:rsidRPr="0009356D">
              <w:rPr>
                <w:rFonts w:cs="Arial"/>
                <w:lang w:val="en-US"/>
              </w:rPr>
              <w:t>68.7</w:t>
            </w:r>
          </w:p>
        </w:tc>
        <w:tc>
          <w:tcPr>
            <w:tcW w:w="851" w:type="dxa"/>
          </w:tcPr>
          <w:p w:rsidR="009A77B1" w:rsidRPr="0009356D" w:rsidRDefault="000562E0" w:rsidP="00CB47B7">
            <w:pPr>
              <w:spacing w:line="360" w:lineRule="auto"/>
              <w:rPr>
                <w:rFonts w:cs="Arial"/>
                <w:lang w:val="en-US"/>
              </w:rPr>
            </w:pPr>
            <w:r w:rsidRPr="0009356D">
              <w:rPr>
                <w:rFonts w:cs="Arial"/>
                <w:lang w:val="en-US"/>
              </w:rPr>
              <w:t>63.6</w:t>
            </w:r>
          </w:p>
        </w:tc>
        <w:tc>
          <w:tcPr>
            <w:tcW w:w="992" w:type="dxa"/>
          </w:tcPr>
          <w:p w:rsidR="009A77B1" w:rsidRPr="0009356D" w:rsidRDefault="000562E0" w:rsidP="00CB47B7">
            <w:pPr>
              <w:spacing w:line="360" w:lineRule="auto"/>
              <w:rPr>
                <w:rFonts w:cs="Arial"/>
                <w:lang w:val="en-US"/>
              </w:rPr>
            </w:pPr>
            <w:r w:rsidRPr="0009356D">
              <w:rPr>
                <w:rFonts w:cs="Arial"/>
                <w:lang w:val="en-US"/>
              </w:rPr>
              <w:t>0.89</w:t>
            </w:r>
          </w:p>
        </w:tc>
        <w:tc>
          <w:tcPr>
            <w:tcW w:w="992" w:type="dxa"/>
          </w:tcPr>
          <w:p w:rsidR="009A77B1" w:rsidRPr="0009356D" w:rsidRDefault="000562E0" w:rsidP="00CB47B7">
            <w:pPr>
              <w:spacing w:line="360" w:lineRule="auto"/>
              <w:rPr>
                <w:rFonts w:cs="Arial"/>
                <w:lang w:val="en-US"/>
              </w:rPr>
            </w:pPr>
            <w:r w:rsidRPr="0009356D">
              <w:rPr>
                <w:rFonts w:cs="Arial"/>
                <w:lang w:val="en-US"/>
              </w:rPr>
              <w:t>71.5</w:t>
            </w:r>
          </w:p>
        </w:tc>
      </w:tr>
      <w:tr w:rsidR="00D305E7" w:rsidRPr="0009356D" w:rsidTr="00CB47B7">
        <w:tc>
          <w:tcPr>
            <w:tcW w:w="2093" w:type="dxa"/>
            <w:tcBorders>
              <w:bottom w:val="single" w:sz="4" w:space="0" w:color="auto"/>
            </w:tcBorders>
          </w:tcPr>
          <w:p w:rsidR="009A77B1" w:rsidRPr="0009356D" w:rsidRDefault="00CB47B7" w:rsidP="00CB47B7">
            <w:pPr>
              <w:spacing w:line="360" w:lineRule="auto"/>
              <w:rPr>
                <w:rFonts w:cs="Arial"/>
                <w:lang w:val="en-US"/>
              </w:rPr>
            </w:pPr>
            <w:r w:rsidRPr="0009356D">
              <w:rPr>
                <w:rFonts w:cs="Arial"/>
                <w:lang w:val="en-US"/>
              </w:rPr>
              <w:t>Ethyl acetate</w:t>
            </w:r>
          </w:p>
        </w:tc>
        <w:tc>
          <w:tcPr>
            <w:tcW w:w="1417" w:type="dxa"/>
            <w:tcBorders>
              <w:bottom w:val="single" w:sz="4" w:space="0" w:color="auto"/>
            </w:tcBorders>
          </w:tcPr>
          <w:p w:rsidR="009A77B1" w:rsidRPr="0009356D" w:rsidRDefault="00CB47B7" w:rsidP="00CB47B7">
            <w:pPr>
              <w:spacing w:line="360" w:lineRule="auto"/>
              <w:rPr>
                <w:rFonts w:cs="Arial"/>
                <w:lang w:val="en-US"/>
              </w:rPr>
            </w:pPr>
            <w:r w:rsidRPr="0009356D">
              <w:rPr>
                <w:rFonts w:cs="Arial"/>
                <w:lang w:val="en-US"/>
              </w:rPr>
              <w:t>-</w:t>
            </w:r>
          </w:p>
        </w:tc>
        <w:tc>
          <w:tcPr>
            <w:tcW w:w="1276" w:type="dxa"/>
            <w:tcBorders>
              <w:bottom w:val="single" w:sz="4" w:space="0" w:color="auto"/>
            </w:tcBorders>
          </w:tcPr>
          <w:p w:rsidR="009A77B1" w:rsidRPr="0009356D" w:rsidRDefault="00CB47B7" w:rsidP="00CB47B7">
            <w:pPr>
              <w:spacing w:line="360" w:lineRule="auto"/>
              <w:rPr>
                <w:rFonts w:cs="Arial"/>
                <w:lang w:val="en-US"/>
              </w:rPr>
            </w:pPr>
            <w:r w:rsidRPr="0009356D">
              <w:rPr>
                <w:rFonts w:cs="Arial"/>
                <w:lang w:val="en-US"/>
              </w:rPr>
              <w:t>88.11</w:t>
            </w:r>
          </w:p>
        </w:tc>
        <w:tc>
          <w:tcPr>
            <w:tcW w:w="1559" w:type="dxa"/>
            <w:tcBorders>
              <w:bottom w:val="single" w:sz="4" w:space="0" w:color="auto"/>
            </w:tcBorders>
          </w:tcPr>
          <w:p w:rsidR="009A77B1" w:rsidRPr="0009356D" w:rsidRDefault="00CB47B7" w:rsidP="00CB47B7">
            <w:pPr>
              <w:spacing w:line="360" w:lineRule="auto"/>
              <w:rPr>
                <w:rFonts w:cs="Arial"/>
                <w:lang w:val="en-US"/>
              </w:rPr>
            </w:pPr>
            <w:r w:rsidRPr="0009356D">
              <w:rPr>
                <w:rFonts w:cs="Arial"/>
                <w:lang w:val="en-US"/>
              </w:rPr>
              <w:t>-</w:t>
            </w:r>
          </w:p>
        </w:tc>
        <w:tc>
          <w:tcPr>
            <w:tcW w:w="851" w:type="dxa"/>
            <w:tcBorders>
              <w:bottom w:val="single" w:sz="4" w:space="0" w:color="auto"/>
            </w:tcBorders>
          </w:tcPr>
          <w:p w:rsidR="009A77B1" w:rsidRPr="0009356D" w:rsidRDefault="00CB47B7" w:rsidP="00CB47B7">
            <w:pPr>
              <w:spacing w:line="360" w:lineRule="auto"/>
              <w:rPr>
                <w:rFonts w:cs="Arial"/>
                <w:lang w:val="en-US"/>
              </w:rPr>
            </w:pPr>
            <w:r w:rsidRPr="0009356D">
              <w:rPr>
                <w:rFonts w:cs="Arial"/>
                <w:lang w:val="en-US"/>
              </w:rPr>
              <w:t>-</w:t>
            </w:r>
          </w:p>
        </w:tc>
        <w:tc>
          <w:tcPr>
            <w:tcW w:w="992" w:type="dxa"/>
            <w:tcBorders>
              <w:bottom w:val="single" w:sz="4" w:space="0" w:color="auto"/>
            </w:tcBorders>
          </w:tcPr>
          <w:p w:rsidR="009A77B1" w:rsidRPr="0009356D" w:rsidRDefault="00CB47B7" w:rsidP="00CB47B7">
            <w:pPr>
              <w:spacing w:line="360" w:lineRule="auto"/>
              <w:rPr>
                <w:rFonts w:cs="Arial"/>
                <w:lang w:val="en-US"/>
              </w:rPr>
            </w:pPr>
            <w:r w:rsidRPr="0009356D">
              <w:rPr>
                <w:rFonts w:cs="Arial"/>
                <w:lang w:val="en-US"/>
              </w:rPr>
              <w:t>-</w:t>
            </w:r>
          </w:p>
        </w:tc>
        <w:tc>
          <w:tcPr>
            <w:tcW w:w="992" w:type="dxa"/>
            <w:tcBorders>
              <w:bottom w:val="single" w:sz="4" w:space="0" w:color="auto"/>
            </w:tcBorders>
          </w:tcPr>
          <w:p w:rsidR="009A77B1" w:rsidRPr="0009356D" w:rsidRDefault="009E2890" w:rsidP="00CB47B7">
            <w:pPr>
              <w:spacing w:line="360" w:lineRule="auto"/>
              <w:rPr>
                <w:rFonts w:cs="Arial"/>
                <w:lang w:val="en-US"/>
              </w:rPr>
            </w:pPr>
            <w:r w:rsidRPr="0009356D">
              <w:rPr>
                <w:rFonts w:cs="Arial"/>
                <w:lang w:val="en-US"/>
              </w:rPr>
              <w:t>10</w:t>
            </w:r>
            <w:r w:rsidR="00CB47B7" w:rsidRPr="0009356D">
              <w:rPr>
                <w:rFonts w:cs="Arial"/>
                <w:lang w:val="en-US"/>
              </w:rPr>
              <w:t>00</w:t>
            </w:r>
          </w:p>
        </w:tc>
      </w:tr>
    </w:tbl>
    <w:p w:rsidR="009A77B1" w:rsidRPr="0009356D" w:rsidRDefault="009A77B1" w:rsidP="00F001B1">
      <w:pPr>
        <w:jc w:val="both"/>
        <w:rPr>
          <w:rFonts w:cs="Arial"/>
          <w:lang w:val="en-US"/>
        </w:rPr>
      </w:pPr>
    </w:p>
    <w:p w:rsidR="002754FA" w:rsidRPr="0009356D" w:rsidRDefault="00F001B1" w:rsidP="00122333">
      <w:pPr>
        <w:jc w:val="both"/>
        <w:rPr>
          <w:rFonts w:cs="Arial"/>
          <w:lang w:val="en-US"/>
        </w:rPr>
      </w:pPr>
      <w:r w:rsidRPr="0009356D">
        <w:rPr>
          <w:rFonts w:cs="Arial"/>
          <w:i/>
          <w:lang w:val="en-US"/>
        </w:rPr>
        <w:t>Experimental</w:t>
      </w:r>
      <w:r w:rsidRPr="0009356D">
        <w:rPr>
          <w:rFonts w:cs="Arial"/>
          <w:lang w:val="en-US"/>
        </w:rPr>
        <w:t>: The set-up for the reaction is buil</w:t>
      </w:r>
      <w:r w:rsidR="00671A57">
        <w:rPr>
          <w:rFonts w:cs="Arial"/>
          <w:lang w:val="en-US"/>
        </w:rPr>
        <w:t xml:space="preserve">t up </w:t>
      </w:r>
      <w:r w:rsidR="00242613">
        <w:rPr>
          <w:rFonts w:cs="Arial"/>
          <w:lang w:val="en-US"/>
        </w:rPr>
        <w:t xml:space="preserve">as </w:t>
      </w:r>
      <w:r w:rsidR="00671A57">
        <w:rPr>
          <w:rFonts w:cs="Arial"/>
          <w:lang w:val="en-US"/>
        </w:rPr>
        <w:t xml:space="preserve">shown in </w:t>
      </w:r>
      <w:r w:rsidR="00671A57">
        <w:rPr>
          <w:rFonts w:cs="Arial"/>
          <w:lang w:val="en-US"/>
        </w:rPr>
        <w:fldChar w:fldCharType="begin"/>
      </w:r>
      <w:r w:rsidR="00671A57">
        <w:rPr>
          <w:rFonts w:cs="Arial"/>
          <w:lang w:val="en-US"/>
        </w:rPr>
        <w:instrText xml:space="preserve"> REF _Ref484766872 \h </w:instrText>
      </w:r>
      <w:r w:rsidR="00671A57">
        <w:rPr>
          <w:rFonts w:cs="Arial"/>
          <w:lang w:val="en-US"/>
        </w:rPr>
      </w:r>
      <w:r w:rsidR="00671A57">
        <w:rPr>
          <w:rFonts w:cs="Arial"/>
          <w:lang w:val="en-US"/>
        </w:rPr>
        <w:fldChar w:fldCharType="separate"/>
      </w:r>
      <w:r w:rsidR="00671A57" w:rsidRPr="00671A57">
        <w:rPr>
          <w:lang w:val="en-US"/>
        </w:rPr>
        <w:t xml:space="preserve">Figure </w:t>
      </w:r>
      <w:r w:rsidR="00671A57" w:rsidRPr="00671A57">
        <w:rPr>
          <w:noProof/>
          <w:lang w:val="en-US"/>
        </w:rPr>
        <w:t>1</w:t>
      </w:r>
      <w:r w:rsidR="00671A57">
        <w:rPr>
          <w:rFonts w:cs="Arial"/>
          <w:lang w:val="en-US"/>
        </w:rPr>
        <w:fldChar w:fldCharType="end"/>
      </w:r>
      <w:r w:rsidRPr="0009356D">
        <w:rPr>
          <w:rFonts w:cs="Arial"/>
          <w:lang w:val="en-US"/>
        </w:rPr>
        <w:t xml:space="preserve"> by connecting the t</w:t>
      </w:r>
      <w:r w:rsidR="00242613">
        <w:rPr>
          <w:rFonts w:cs="Arial"/>
          <w:lang w:val="en-US"/>
        </w:rPr>
        <w:t>h</w:t>
      </w:r>
      <w:r w:rsidRPr="0009356D">
        <w:rPr>
          <w:rFonts w:cs="Arial"/>
          <w:lang w:val="en-US"/>
        </w:rPr>
        <w:t>ree-neck round bottom flask with inner thermometer, reflux condenser and dropping funnel. The set-up is placed in an oil bath on a magnetic stirrer. The measured volume of 1-methylimidazole is placed inside the flask and the measured volume of 1</w:t>
      </w:r>
      <w:r w:rsidRPr="0009356D">
        <w:rPr>
          <w:rFonts w:cs="Arial"/>
          <w:lang w:val="en-US"/>
        </w:rPr>
        <w:noBreakHyphen/>
        <w:t xml:space="preserve">chlorobutane in the dropping funnel. The 1-chlorobutane is added dropwise to the </w:t>
      </w:r>
      <w:r w:rsidR="009E2890" w:rsidRPr="0009356D">
        <w:rPr>
          <w:rFonts w:cs="Arial"/>
          <w:lang w:val="en-US"/>
        </w:rPr>
        <w:t>flask for about 30 minutes upon which a slight heating is observed. After the completion of the addition the reaction is heated to 85°C for 4 hours</w:t>
      </w:r>
      <w:r w:rsidR="00541C24" w:rsidRPr="0009356D">
        <w:rPr>
          <w:rFonts w:cs="Arial"/>
          <w:lang w:val="en-US"/>
        </w:rPr>
        <w:t xml:space="preserve"> under intensive stirring</w:t>
      </w:r>
      <w:r w:rsidR="009E2890" w:rsidRPr="0009356D">
        <w:rPr>
          <w:rFonts w:cs="Arial"/>
          <w:lang w:val="en-US"/>
        </w:rPr>
        <w:t>.</w:t>
      </w:r>
      <w:r w:rsidR="00541C24" w:rsidRPr="0009356D">
        <w:rPr>
          <w:rFonts w:cs="Arial"/>
          <w:lang w:val="en-US"/>
        </w:rPr>
        <w:t xml:space="preserve"> During the reaction the viscosity of the mixture increases.</w:t>
      </w:r>
      <w:r w:rsidR="009E2890" w:rsidRPr="0009356D">
        <w:rPr>
          <w:rFonts w:cs="Arial"/>
          <w:lang w:val="en-US"/>
        </w:rPr>
        <w:t xml:space="preserve"> After cooling to room temperature the mixture is transferred to a glass beaker and 250 mL of ethyl acetate are added forming a two phasic mixture. After intensive stirring for 2 minutes the phases are allowed to separate and the upper phase is carefully decanted. This process is repeated four times.</w:t>
      </w:r>
      <w:r w:rsidR="00122333" w:rsidRPr="0009356D">
        <w:rPr>
          <w:rFonts w:cs="Arial"/>
          <w:lang w:val="en-US"/>
        </w:rPr>
        <w:t xml:space="preserve"> During the washing steps the IL may crystallize. In this case it can is removed by filtration and washed with ethyl acetate in the filter. The lower ionic liquid phase is placed in a 250 mL round bottom flask and subjected to rotary evaporation</w:t>
      </w:r>
      <w:r w:rsidR="00FE3554" w:rsidRPr="0009356D">
        <w:rPr>
          <w:rFonts w:cs="Arial"/>
          <w:lang w:val="en-US"/>
        </w:rPr>
        <w:t xml:space="preserve"> or vacuum distillation</w:t>
      </w:r>
      <w:r w:rsidR="00122333" w:rsidRPr="0009356D">
        <w:rPr>
          <w:rFonts w:cs="Arial"/>
          <w:lang w:val="en-US"/>
        </w:rPr>
        <w:t xml:space="preserve"> by carefully decreasing the pressure to the lowest possible value. If possible the obtained IL can be further dried by heating in oil pump vacuum at </w:t>
      </w:r>
      <w:r w:rsidR="00893B6B" w:rsidRPr="0009356D">
        <w:rPr>
          <w:rFonts w:cs="Arial"/>
          <w:lang w:val="en-US"/>
        </w:rPr>
        <w:t>7</w:t>
      </w:r>
      <w:r w:rsidR="00122333" w:rsidRPr="0009356D">
        <w:rPr>
          <w:rFonts w:cs="Arial"/>
          <w:lang w:val="en-US"/>
        </w:rPr>
        <w:t>0°C</w:t>
      </w:r>
      <w:r w:rsidR="00893B6B" w:rsidRPr="0009356D">
        <w:rPr>
          <w:rFonts w:cs="Arial"/>
          <w:lang w:val="en-US"/>
        </w:rPr>
        <w:t xml:space="preserve"> for one day</w:t>
      </w:r>
      <w:r w:rsidR="00122333" w:rsidRPr="0009356D">
        <w:rPr>
          <w:rFonts w:cs="Arial"/>
          <w:lang w:val="en-US"/>
        </w:rPr>
        <w:t xml:space="preserve"> using a cooling trap. </w:t>
      </w:r>
      <w:r w:rsidR="00541C24" w:rsidRPr="0009356D">
        <w:rPr>
          <w:rFonts w:cs="Arial"/>
          <w:lang w:val="en-US"/>
        </w:rPr>
        <w:t xml:space="preserve">After drying the product can be weighted to determine the </w:t>
      </w:r>
      <w:r w:rsidR="00541C24" w:rsidRPr="0009356D">
        <w:rPr>
          <w:rFonts w:cs="Arial"/>
          <w:lang w:val="en-US"/>
        </w:rPr>
        <w:lastRenderedPageBreak/>
        <w:t xml:space="preserve">yield after equation 1. </w:t>
      </w:r>
      <w:r w:rsidR="00122333" w:rsidRPr="0009356D">
        <w:rPr>
          <w:rFonts w:cs="Arial"/>
          <w:lang w:val="en-US"/>
        </w:rPr>
        <w:t xml:space="preserve">The </w:t>
      </w:r>
      <w:r w:rsidR="00541C24" w:rsidRPr="0009356D">
        <w:rPr>
          <w:rFonts w:cs="Arial"/>
          <w:lang w:val="en-US"/>
        </w:rPr>
        <w:t xml:space="preserve">final </w:t>
      </w:r>
      <w:r w:rsidR="00122333" w:rsidRPr="0009356D">
        <w:rPr>
          <w:rFonts w:cs="Arial"/>
          <w:lang w:val="en-US"/>
        </w:rPr>
        <w:t xml:space="preserve">IL is observed as a </w:t>
      </w:r>
      <w:r w:rsidR="00893B6B" w:rsidRPr="0009356D">
        <w:rPr>
          <w:rFonts w:cs="Arial"/>
          <w:lang w:val="en-US"/>
        </w:rPr>
        <w:t>colorless, transparent</w:t>
      </w:r>
      <w:r w:rsidR="00122333" w:rsidRPr="0009356D">
        <w:rPr>
          <w:rFonts w:cs="Arial"/>
          <w:lang w:val="en-US"/>
        </w:rPr>
        <w:t xml:space="preserve"> solid</w:t>
      </w:r>
      <w:r w:rsidR="00541C24" w:rsidRPr="0009356D">
        <w:rPr>
          <w:rFonts w:cs="Arial"/>
          <w:lang w:val="en-US"/>
        </w:rPr>
        <w:t xml:space="preserve">. The purity of the final IL is best checked by </w:t>
      </w:r>
      <w:r w:rsidR="00893B6B" w:rsidRPr="0009356D">
        <w:rPr>
          <w:rFonts w:cs="Arial"/>
          <w:lang w:val="en-US"/>
        </w:rPr>
        <w:t>proton-</w:t>
      </w:r>
      <w:r w:rsidR="00541C24" w:rsidRPr="0009356D">
        <w:rPr>
          <w:rFonts w:cs="Arial"/>
          <w:lang w:val="en-US"/>
        </w:rPr>
        <w:t xml:space="preserve">NMR. </w:t>
      </w:r>
      <w:r w:rsidR="00B22C3E" w:rsidRPr="0009356D">
        <w:rPr>
          <w:rFonts w:cs="Arial"/>
          <w:vertAlign w:val="superscript"/>
          <w:lang w:val="en-US"/>
        </w:rPr>
        <w:t>1</w:t>
      </w:r>
      <w:r w:rsidR="00B22C3E" w:rsidRPr="0009356D">
        <w:rPr>
          <w:rFonts w:cs="Arial"/>
          <w:lang w:val="en-US"/>
        </w:rPr>
        <w:t xml:space="preserve">H-NMR and </w:t>
      </w:r>
      <w:proofErr w:type="gramStart"/>
      <w:r w:rsidR="00B22C3E" w:rsidRPr="0009356D">
        <w:rPr>
          <w:rFonts w:cs="Arial"/>
          <w:vertAlign w:val="superscript"/>
          <w:lang w:val="en-US"/>
        </w:rPr>
        <w:t>13</w:t>
      </w:r>
      <w:r w:rsidR="00B22C3E" w:rsidRPr="0009356D">
        <w:rPr>
          <w:rFonts w:cs="Arial"/>
          <w:lang w:val="en-US"/>
        </w:rPr>
        <w:t>C{</w:t>
      </w:r>
      <w:proofErr w:type="gramEnd"/>
      <w:r w:rsidR="00B22C3E" w:rsidRPr="0009356D">
        <w:rPr>
          <w:rFonts w:cs="Arial"/>
          <w:vertAlign w:val="superscript"/>
          <w:lang w:val="en-US"/>
        </w:rPr>
        <w:t>1</w:t>
      </w:r>
      <w:r w:rsidR="00B22C3E" w:rsidRPr="0009356D">
        <w:rPr>
          <w:rFonts w:cs="Arial"/>
          <w:lang w:val="en-US"/>
        </w:rPr>
        <w:t xml:space="preserve">H}-NMR spectra </w:t>
      </w:r>
      <w:r w:rsidR="00893B6B" w:rsidRPr="0009356D">
        <w:rPr>
          <w:rFonts w:cs="Arial"/>
          <w:lang w:val="en-US"/>
        </w:rPr>
        <w:t>of [C</w:t>
      </w:r>
      <w:r w:rsidR="00893B6B" w:rsidRPr="0009356D">
        <w:rPr>
          <w:rFonts w:cs="Arial"/>
          <w:vertAlign w:val="subscript"/>
          <w:lang w:val="en-US"/>
        </w:rPr>
        <w:t>4</w:t>
      </w:r>
      <w:r w:rsidR="00893B6B" w:rsidRPr="0009356D">
        <w:rPr>
          <w:rFonts w:cs="Arial"/>
          <w:lang w:val="en-US"/>
        </w:rPr>
        <w:t xml:space="preserve">-mim][Cl] </w:t>
      </w:r>
      <w:r w:rsidR="00B22C3E" w:rsidRPr="0009356D">
        <w:rPr>
          <w:rFonts w:cs="Arial"/>
          <w:lang w:val="en-US"/>
        </w:rPr>
        <w:t>are shown in</w:t>
      </w:r>
      <w:r w:rsidR="002B39BC">
        <w:rPr>
          <w:rFonts w:cs="Arial"/>
          <w:color w:val="FF0000"/>
          <w:lang w:val="en-US"/>
        </w:rPr>
        <w:t xml:space="preserve"> </w:t>
      </w:r>
      <w:r w:rsidR="002B39BC">
        <w:rPr>
          <w:rFonts w:cs="Arial"/>
          <w:color w:val="FF0000"/>
          <w:lang w:val="en-US"/>
        </w:rPr>
        <w:fldChar w:fldCharType="begin"/>
      </w:r>
      <w:r w:rsidR="002B39BC">
        <w:rPr>
          <w:rFonts w:cs="Arial"/>
          <w:color w:val="FF0000"/>
          <w:lang w:val="en-US"/>
        </w:rPr>
        <w:instrText xml:space="preserve"> REF _Ref484768503 \h </w:instrText>
      </w:r>
      <w:r w:rsidR="002B39BC">
        <w:rPr>
          <w:rFonts w:cs="Arial"/>
          <w:color w:val="FF0000"/>
          <w:lang w:val="en-US"/>
        </w:rPr>
      </w:r>
      <w:r w:rsidR="002B39BC">
        <w:rPr>
          <w:rFonts w:cs="Arial"/>
          <w:color w:val="FF0000"/>
          <w:lang w:val="en-US"/>
        </w:rPr>
        <w:fldChar w:fldCharType="separate"/>
      </w:r>
      <w:r w:rsidR="002B39BC" w:rsidRPr="00880438">
        <w:rPr>
          <w:lang w:val="en-US"/>
        </w:rPr>
        <w:t xml:space="preserve">Figure </w:t>
      </w:r>
      <w:r w:rsidR="002B39BC">
        <w:rPr>
          <w:noProof/>
          <w:lang w:val="en-US"/>
        </w:rPr>
        <w:t>4</w:t>
      </w:r>
      <w:r w:rsidR="002B39BC">
        <w:rPr>
          <w:rFonts w:cs="Arial"/>
          <w:color w:val="FF0000"/>
          <w:lang w:val="en-US"/>
        </w:rPr>
        <w:fldChar w:fldCharType="end"/>
      </w:r>
      <w:r w:rsidR="002B39BC">
        <w:rPr>
          <w:rFonts w:cs="Arial"/>
          <w:color w:val="FF0000"/>
          <w:lang w:val="en-US"/>
        </w:rPr>
        <w:t xml:space="preserve"> </w:t>
      </w:r>
      <w:r w:rsidR="002B39BC" w:rsidRPr="002B39BC">
        <w:rPr>
          <w:rFonts w:cs="Arial"/>
          <w:color w:val="000000" w:themeColor="text1"/>
          <w:lang w:val="en-US"/>
        </w:rPr>
        <w:t>and</w:t>
      </w:r>
      <w:r w:rsidR="002B39BC">
        <w:rPr>
          <w:rFonts w:cs="Arial"/>
          <w:color w:val="FF0000"/>
          <w:lang w:val="en-US"/>
        </w:rPr>
        <w:t xml:space="preserve"> </w:t>
      </w:r>
      <w:r w:rsidR="002B39BC">
        <w:rPr>
          <w:rFonts w:cs="Arial"/>
          <w:color w:val="FF0000"/>
          <w:lang w:val="en-US"/>
        </w:rPr>
        <w:fldChar w:fldCharType="begin"/>
      </w:r>
      <w:r w:rsidR="002B39BC">
        <w:rPr>
          <w:rFonts w:cs="Arial"/>
          <w:color w:val="FF0000"/>
          <w:lang w:val="en-US"/>
        </w:rPr>
        <w:instrText xml:space="preserve"> REF _Ref484768507 \h </w:instrText>
      </w:r>
      <w:r w:rsidR="002B39BC">
        <w:rPr>
          <w:rFonts w:cs="Arial"/>
          <w:color w:val="FF0000"/>
          <w:lang w:val="en-US"/>
        </w:rPr>
      </w:r>
      <w:r w:rsidR="002B39BC">
        <w:rPr>
          <w:rFonts w:cs="Arial"/>
          <w:color w:val="FF0000"/>
          <w:lang w:val="en-US"/>
        </w:rPr>
        <w:fldChar w:fldCharType="separate"/>
      </w:r>
      <w:r w:rsidR="002B39BC" w:rsidRPr="00880438">
        <w:rPr>
          <w:lang w:val="en-US"/>
        </w:rPr>
        <w:t xml:space="preserve">Figure </w:t>
      </w:r>
      <w:r w:rsidR="002B39BC">
        <w:rPr>
          <w:noProof/>
          <w:lang w:val="en-US"/>
        </w:rPr>
        <w:t>5</w:t>
      </w:r>
      <w:r w:rsidR="002B39BC">
        <w:rPr>
          <w:rFonts w:cs="Arial"/>
          <w:color w:val="FF0000"/>
          <w:lang w:val="en-US"/>
        </w:rPr>
        <w:fldChar w:fldCharType="end"/>
      </w:r>
      <w:r w:rsidR="00B22C3E" w:rsidRPr="0009356D">
        <w:rPr>
          <w:rFonts w:cs="Arial"/>
          <w:lang w:val="en-US"/>
        </w:rPr>
        <w:t>.</w:t>
      </w:r>
      <w:r w:rsidR="00122333" w:rsidRPr="0009356D">
        <w:rPr>
          <w:rFonts w:cs="Arial"/>
          <w:lang w:val="en-US"/>
        </w:rPr>
        <w:t xml:space="preserve"> </w:t>
      </w:r>
    </w:p>
    <w:p w:rsidR="00F001B1" w:rsidRPr="0009356D" w:rsidRDefault="002754FA" w:rsidP="00122333">
      <w:pPr>
        <w:jc w:val="both"/>
        <w:rPr>
          <w:rFonts w:cs="Arial"/>
          <w:lang w:val="en-US"/>
        </w:rPr>
      </w:pPr>
      <w:r w:rsidRPr="0009356D">
        <w:rPr>
          <w:rFonts w:cs="Arial"/>
          <w:b/>
          <w:vertAlign w:val="superscript"/>
          <w:lang w:val="en-US"/>
        </w:rPr>
        <w:t>1</w:t>
      </w:r>
      <w:r w:rsidRPr="0009356D">
        <w:rPr>
          <w:rFonts w:cs="Arial"/>
          <w:b/>
          <w:lang w:val="en-US"/>
        </w:rPr>
        <w:t>H-NMR</w:t>
      </w:r>
      <w:r w:rsidRPr="0009356D">
        <w:rPr>
          <w:rFonts w:cs="Arial"/>
          <w:lang w:val="en-US"/>
        </w:rPr>
        <w:t xml:space="preserve"> (400 MHz, DMSO-d</w:t>
      </w:r>
      <w:r w:rsidRPr="0009356D">
        <w:rPr>
          <w:rFonts w:cs="Arial"/>
          <w:vertAlign w:val="subscript"/>
          <w:lang w:val="en-US"/>
        </w:rPr>
        <w:t>6</w:t>
      </w:r>
      <w:r w:rsidRPr="0009356D">
        <w:rPr>
          <w:rFonts w:cs="Arial"/>
          <w:lang w:val="en-US"/>
        </w:rPr>
        <w:t xml:space="preserve">) </w:t>
      </w:r>
      <w:proofErr w:type="gramStart"/>
      <w:r w:rsidRPr="0009356D">
        <w:rPr>
          <w:rFonts w:cs="Arial"/>
          <w:lang w:val="en-US"/>
        </w:rPr>
        <w:t>δ[</w:t>
      </w:r>
      <w:proofErr w:type="gramEnd"/>
      <w:r w:rsidRPr="0009356D">
        <w:rPr>
          <w:rFonts w:cs="Arial"/>
          <w:lang w:val="en-US"/>
        </w:rPr>
        <w:t xml:space="preserve">ppm] = 9.09 (s, 1H), 7.73 (s, 1H), 7.67 (s, 1H), 4.16 (t, </w:t>
      </w:r>
      <w:r w:rsidRPr="0009356D">
        <w:rPr>
          <w:rFonts w:cs="Arial"/>
          <w:i/>
          <w:lang w:val="en-US"/>
        </w:rPr>
        <w:t>J</w:t>
      </w:r>
      <w:r w:rsidRPr="0009356D">
        <w:rPr>
          <w:rFonts w:cs="Arial"/>
          <w:lang w:val="en-US"/>
        </w:rPr>
        <w:t xml:space="preserve"> = 7.2 Hz, 2H), 3.85 (s, 3H), 1.83 – 1.72 (m, 2H), 1.32 – 1.21 (m, 2H), 0.90 (t, </w:t>
      </w:r>
      <w:r w:rsidRPr="0009356D">
        <w:rPr>
          <w:rFonts w:cs="Arial"/>
          <w:i/>
          <w:lang w:val="en-US"/>
        </w:rPr>
        <w:t>J</w:t>
      </w:r>
      <w:r w:rsidRPr="0009356D">
        <w:rPr>
          <w:rFonts w:cs="Arial"/>
          <w:lang w:val="en-US"/>
        </w:rPr>
        <w:t xml:space="preserve"> = 7.4 Hz, 3H).</w:t>
      </w:r>
    </w:p>
    <w:p w:rsidR="002754FA" w:rsidRPr="0009356D" w:rsidRDefault="002754FA" w:rsidP="00122333">
      <w:pPr>
        <w:jc w:val="both"/>
        <w:rPr>
          <w:rFonts w:cs="Arial"/>
          <w:lang w:val="en-US"/>
        </w:rPr>
      </w:pPr>
      <w:proofErr w:type="gramStart"/>
      <w:r w:rsidRPr="0009356D">
        <w:rPr>
          <w:rFonts w:cs="Arial"/>
          <w:b/>
          <w:vertAlign w:val="superscript"/>
          <w:lang w:val="en-US"/>
        </w:rPr>
        <w:t>13</w:t>
      </w:r>
      <w:r w:rsidRPr="0009356D">
        <w:rPr>
          <w:rFonts w:cs="Arial"/>
          <w:b/>
          <w:lang w:val="en-US"/>
        </w:rPr>
        <w:t>C{</w:t>
      </w:r>
      <w:proofErr w:type="gramEnd"/>
      <w:r w:rsidRPr="0009356D">
        <w:rPr>
          <w:rFonts w:cs="Arial"/>
          <w:b/>
          <w:vertAlign w:val="superscript"/>
          <w:lang w:val="en-US"/>
        </w:rPr>
        <w:t>1</w:t>
      </w:r>
      <w:r w:rsidRPr="0009356D">
        <w:rPr>
          <w:rFonts w:cs="Arial"/>
          <w:b/>
          <w:lang w:val="en-US"/>
        </w:rPr>
        <w:t>H}-NMR</w:t>
      </w:r>
      <w:r w:rsidRPr="0009356D">
        <w:rPr>
          <w:rFonts w:cs="Arial"/>
          <w:lang w:val="en-US"/>
        </w:rPr>
        <w:t xml:space="preserve"> (101 MHz, DMSO-d</w:t>
      </w:r>
      <w:r w:rsidRPr="0009356D">
        <w:rPr>
          <w:rFonts w:cs="Arial"/>
          <w:vertAlign w:val="subscript"/>
          <w:lang w:val="en-US"/>
        </w:rPr>
        <w:t>6</w:t>
      </w:r>
      <w:r w:rsidRPr="0009356D">
        <w:rPr>
          <w:rFonts w:cs="Arial"/>
          <w:lang w:val="en-US"/>
        </w:rPr>
        <w:t>) δ[ppm] = 136.37, 123.47, 122.16, 48.42, 35.83, 31.26, 18.67, 13.21.</w:t>
      </w:r>
    </w:p>
    <w:p w:rsidR="00F001B1" w:rsidRDefault="00F001B1" w:rsidP="00F001B1">
      <w:pPr>
        <w:jc w:val="center"/>
        <w:rPr>
          <w:rFonts w:ascii="Arial" w:hAnsi="Arial" w:cs="Arial"/>
          <w:lang w:val="en-US"/>
        </w:rPr>
      </w:pPr>
      <w:r>
        <w:rPr>
          <w:rFonts w:ascii="Arial" w:hAnsi="Arial" w:cs="Arial"/>
          <w:noProof/>
          <w:lang w:eastAsia="de-DE"/>
        </w:rPr>
        <w:drawing>
          <wp:inline distT="0" distB="0" distL="0" distR="0" wp14:anchorId="79525CD4" wp14:editId="67C02DD8">
            <wp:extent cx="2701346" cy="319087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bau Experim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858" cy="3196204"/>
                    </a:xfrm>
                    <a:prstGeom prst="rect">
                      <a:avLst/>
                    </a:prstGeom>
                  </pic:spPr>
                </pic:pic>
              </a:graphicData>
            </a:graphic>
          </wp:inline>
        </w:drawing>
      </w:r>
    </w:p>
    <w:p w:rsidR="00F001B1" w:rsidRPr="00FE3554" w:rsidRDefault="00671A57" w:rsidP="00671A57">
      <w:pPr>
        <w:pStyle w:val="Beschriftung"/>
        <w:rPr>
          <w:rFonts w:ascii="Arial" w:hAnsi="Arial" w:cs="Arial"/>
          <w:b w:val="0"/>
          <w:sz w:val="20"/>
          <w:lang w:val="en-US"/>
        </w:rPr>
      </w:pPr>
      <w:bookmarkStart w:id="5" w:name="_Ref484766872"/>
      <w:r w:rsidRPr="00671A57">
        <w:rPr>
          <w:lang w:val="en-US"/>
        </w:rPr>
        <w:t xml:space="preserve">Figure </w:t>
      </w:r>
      <w:r>
        <w:fldChar w:fldCharType="begin"/>
      </w:r>
      <w:r w:rsidRPr="00671A57">
        <w:rPr>
          <w:lang w:val="en-US"/>
        </w:rPr>
        <w:instrText xml:space="preserve"> SEQ Figure \* ARABIC </w:instrText>
      </w:r>
      <w:r>
        <w:fldChar w:fldCharType="separate"/>
      </w:r>
      <w:r w:rsidR="00880438">
        <w:rPr>
          <w:noProof/>
          <w:lang w:val="en-US"/>
        </w:rPr>
        <w:t>1</w:t>
      </w:r>
      <w:r>
        <w:fldChar w:fldCharType="end"/>
      </w:r>
      <w:bookmarkEnd w:id="5"/>
      <w:r w:rsidRPr="00671A57">
        <w:rPr>
          <w:lang w:val="en-US"/>
        </w:rPr>
        <w:t>.</w:t>
      </w:r>
      <w:r w:rsidR="00F001B1" w:rsidRPr="00FE3554">
        <w:rPr>
          <w:rFonts w:ascii="Arial" w:hAnsi="Arial" w:cs="Arial"/>
          <w:b w:val="0"/>
          <w:sz w:val="20"/>
          <w:lang w:val="en-US"/>
        </w:rPr>
        <w:t xml:space="preserve"> </w:t>
      </w:r>
      <w:r w:rsidR="00F001B1" w:rsidRPr="00671A57">
        <w:rPr>
          <w:rFonts w:ascii="Arial" w:hAnsi="Arial" w:cs="Arial"/>
          <w:b w:val="0"/>
          <w:sz w:val="20"/>
          <w:lang w:val="en-US"/>
        </w:rPr>
        <w:t>Experimental set up for the synthesis of [C4</w:t>
      </w:r>
      <w:r w:rsidR="00F001B1" w:rsidRPr="00671A57">
        <w:rPr>
          <w:rFonts w:ascii="Arial" w:hAnsi="Arial" w:cs="Arial"/>
          <w:b w:val="0"/>
          <w:sz w:val="20"/>
          <w:lang w:val="en-US"/>
        </w:rPr>
        <w:noBreakHyphen/>
        <w:t>mim</w:t>
      </w:r>
      <w:proofErr w:type="gramStart"/>
      <w:r w:rsidR="00F001B1" w:rsidRPr="00671A57">
        <w:rPr>
          <w:rFonts w:ascii="Arial" w:hAnsi="Arial" w:cs="Arial"/>
          <w:b w:val="0"/>
          <w:sz w:val="20"/>
          <w:lang w:val="en-US"/>
        </w:rPr>
        <w:t>][</w:t>
      </w:r>
      <w:proofErr w:type="gramEnd"/>
      <w:r w:rsidR="00F001B1" w:rsidRPr="00671A57">
        <w:rPr>
          <w:rFonts w:ascii="Arial" w:hAnsi="Arial" w:cs="Arial"/>
          <w:b w:val="0"/>
          <w:sz w:val="20"/>
          <w:lang w:val="en-US"/>
        </w:rPr>
        <w:t>Cl].</w:t>
      </w:r>
    </w:p>
    <w:p w:rsidR="00541C24" w:rsidRPr="00671A57" w:rsidRDefault="00541C24">
      <w:pPr>
        <w:rPr>
          <w:rFonts w:eastAsiaTheme="minorEastAsia" w:cs="Arial"/>
          <w:lang w:val="en-US"/>
        </w:rPr>
      </w:pPr>
    </w:p>
    <w:p w:rsidR="00F001B1" w:rsidRPr="00671A57" w:rsidRDefault="00241E32" w:rsidP="00541C24">
      <w:pPr>
        <w:ind w:left="1416" w:firstLine="708"/>
        <w:rPr>
          <w:rFonts w:cs="Arial"/>
          <w:lang w:val="en-US"/>
        </w:rPr>
      </w:pPr>
      <m:oMath>
        <m:r>
          <m:rPr>
            <m:sty m:val="p"/>
          </m:rPr>
          <w:rPr>
            <w:rFonts w:ascii="Cambria Math" w:hAnsi="Cambria Math" w:cs="Arial"/>
            <w:lang w:val="en-US"/>
          </w:rPr>
          <m:t>Yield</m:t>
        </m:r>
        <m:r>
          <w:rPr>
            <w:rFonts w:ascii="Cambria Math" w:hAnsi="Cambria Math" w:cs="Arial"/>
            <w:lang w:val="en-US"/>
          </w:rPr>
          <m:t xml:space="preserve">= </m:t>
        </m:r>
        <m:f>
          <m:fPr>
            <m:ctrlPr>
              <w:rPr>
                <w:rFonts w:ascii="Cambria Math" w:hAnsi="Cambria Math" w:cs="Arial"/>
                <w:i/>
                <w:lang w:val="en-US"/>
              </w:rPr>
            </m:ctrlPr>
          </m:fPr>
          <m:num>
            <m:r>
              <w:rPr>
                <w:rFonts w:ascii="Cambria Math" w:hAnsi="Cambria Math" w:cs="Arial"/>
                <w:lang w:val="en-US"/>
              </w:rPr>
              <m:t>n(</m:t>
            </m:r>
            <m:r>
              <m:rPr>
                <m:sty m:val="p"/>
              </m:rPr>
              <w:rPr>
                <w:rFonts w:ascii="Cambria Math" w:hAnsi="Cambria Math" w:cs="Arial"/>
                <w:lang w:val="en-US"/>
              </w:rPr>
              <m:t>product</m:t>
            </m:r>
            <m:r>
              <w:rPr>
                <w:rFonts w:ascii="Cambria Math" w:hAnsi="Cambria Math" w:cs="Arial"/>
                <w:lang w:val="en-US"/>
              </w:rPr>
              <m:t>)</m:t>
            </m:r>
          </m:num>
          <m:den>
            <m:r>
              <w:rPr>
                <w:rFonts w:ascii="Cambria Math" w:hAnsi="Cambria Math" w:cs="Arial"/>
                <w:lang w:val="en-US"/>
              </w:rPr>
              <m:t>n (</m:t>
            </m:r>
            <m:r>
              <m:rPr>
                <m:sty m:val="p"/>
              </m:rPr>
              <w:rPr>
                <w:rFonts w:ascii="Cambria Math" w:hAnsi="Cambria Math" w:cs="Arial"/>
                <w:lang w:val="en-US"/>
              </w:rPr>
              <m:t>educt</m:t>
            </m:r>
            <m:r>
              <w:rPr>
                <w:rFonts w:ascii="Cambria Math" w:hAnsi="Cambria Math" w:cs="Arial"/>
                <w:lang w:val="en-US"/>
              </w:rPr>
              <m:t>)</m:t>
            </m:r>
          </m:den>
        </m:f>
        <m:r>
          <w:rPr>
            <w:rFonts w:ascii="Cambria Math" w:hAnsi="Cambria Math" w:cs="Arial"/>
            <w:lang w:val="en-US"/>
          </w:rPr>
          <m:t xml:space="preserve">= </m:t>
        </m:r>
        <m:f>
          <m:fPr>
            <m:ctrlPr>
              <w:rPr>
                <w:rFonts w:ascii="Cambria Math" w:hAnsi="Cambria Math" w:cs="Arial"/>
                <w:i/>
                <w:lang w:val="en-US"/>
              </w:rPr>
            </m:ctrlPr>
          </m:fPr>
          <m:num>
            <m:r>
              <w:rPr>
                <w:rFonts w:ascii="Cambria Math" w:hAnsi="Cambria Math" w:cs="Arial"/>
                <w:lang w:val="en-US"/>
              </w:rPr>
              <m:t>n(</m:t>
            </m:r>
            <m:r>
              <m:rPr>
                <m:sty m:val="p"/>
              </m:rPr>
              <w:rPr>
                <w:rFonts w:ascii="Cambria Math" w:hAnsi="Cambria Math" w:cs="Arial"/>
                <w:lang w:val="en-US"/>
              </w:rPr>
              <m:t>1-methylimidazole</m:t>
            </m:r>
            <m:r>
              <w:rPr>
                <w:rFonts w:ascii="Cambria Math" w:hAnsi="Cambria Math" w:cs="Arial"/>
                <w:lang w:val="en-US"/>
              </w:rPr>
              <m:t>)</m:t>
            </m:r>
          </m:num>
          <m:den>
            <m:r>
              <w:rPr>
                <w:rFonts w:ascii="Cambria Math" w:hAnsi="Cambria Math" w:cs="Arial"/>
                <w:lang w:val="en-US"/>
              </w:rPr>
              <m:t>n(</m:t>
            </m:r>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C</m:t>
                </m:r>
              </m:e>
              <m:sub>
                <m:r>
                  <m:rPr>
                    <m:sty m:val="p"/>
                  </m:rPr>
                  <w:rPr>
                    <w:rFonts w:ascii="Cambria Math" w:hAnsi="Cambria Math" w:cs="Arial"/>
                    <w:lang w:val="en-US"/>
                  </w:rPr>
                  <m:t>4</m:t>
                </m:r>
              </m:sub>
            </m:sSub>
            <m:r>
              <m:rPr>
                <m:sty m:val="p"/>
              </m:rPr>
              <w:rPr>
                <w:rFonts w:ascii="Cambria Math" w:hAnsi="Cambria Math" w:cs="Arial"/>
                <w:lang w:val="en-US"/>
              </w:rPr>
              <m:t>-mim][Cl]</m:t>
            </m:r>
            <m:r>
              <w:rPr>
                <w:rFonts w:ascii="Cambria Math" w:hAnsi="Cambria Math" w:cs="Arial"/>
                <w:lang w:val="en-US"/>
              </w:rPr>
              <m:t>)</m:t>
            </m:r>
          </m:den>
        </m:f>
        <m:r>
          <w:rPr>
            <w:rFonts w:ascii="Cambria Math" w:hAnsi="Cambria Math" w:cs="Arial"/>
            <w:lang w:val="en-US"/>
          </w:rPr>
          <m:t xml:space="preserve"> x 100%</m:t>
        </m:r>
      </m:oMath>
      <w:r w:rsidR="00541C24" w:rsidRPr="00671A57">
        <w:rPr>
          <w:rFonts w:eastAsiaTheme="minorEastAsia" w:cs="Arial"/>
          <w:lang w:val="en-US"/>
        </w:rPr>
        <w:tab/>
      </w:r>
      <w:r w:rsidR="00541C24" w:rsidRPr="00671A57">
        <w:rPr>
          <w:rFonts w:eastAsiaTheme="minorEastAsia" w:cs="Arial"/>
          <w:lang w:val="en-US"/>
        </w:rPr>
        <w:tab/>
        <w:t>(eq. 1)</w:t>
      </w:r>
    </w:p>
    <w:p w:rsidR="00541C24" w:rsidRPr="00671A57" w:rsidRDefault="00541C24" w:rsidP="00565977">
      <w:pPr>
        <w:jc w:val="both"/>
        <w:rPr>
          <w:rFonts w:cs="Arial"/>
          <w:lang w:val="en-US"/>
        </w:rPr>
      </w:pPr>
      <w:r w:rsidRPr="00671A57">
        <w:rPr>
          <w:rFonts w:cs="Arial"/>
          <w:i/>
          <w:lang w:val="en-US"/>
        </w:rPr>
        <w:t>Discussion</w:t>
      </w:r>
      <w:r w:rsidRPr="00671A57">
        <w:rPr>
          <w:rFonts w:cs="Arial"/>
          <w:lang w:val="en-US"/>
        </w:rPr>
        <w:t xml:space="preserve">: The </w:t>
      </w:r>
      <w:r w:rsidR="00A468BB" w:rsidRPr="00671A57">
        <w:rPr>
          <w:rFonts w:cs="Arial"/>
          <w:lang w:val="en-US"/>
        </w:rPr>
        <w:t xml:space="preserve">aprotic </w:t>
      </w:r>
      <w:r w:rsidRPr="00671A57">
        <w:rPr>
          <w:rFonts w:cs="Arial"/>
          <w:lang w:val="en-US"/>
        </w:rPr>
        <w:t>IL [C4</w:t>
      </w:r>
      <w:r w:rsidRPr="00671A57">
        <w:rPr>
          <w:rFonts w:cs="Arial"/>
          <w:lang w:val="en-US"/>
        </w:rPr>
        <w:noBreakHyphen/>
        <w:t>mim</w:t>
      </w:r>
      <w:proofErr w:type="gramStart"/>
      <w:r w:rsidRPr="00671A57">
        <w:rPr>
          <w:rFonts w:cs="Arial"/>
          <w:lang w:val="en-US"/>
        </w:rPr>
        <w:t>][</w:t>
      </w:r>
      <w:proofErr w:type="gramEnd"/>
      <w:r w:rsidRPr="00671A57">
        <w:rPr>
          <w:rFonts w:cs="Arial"/>
          <w:lang w:val="en-US"/>
        </w:rPr>
        <w:t>Cl] can be ob</w:t>
      </w:r>
      <w:r w:rsidR="00242613">
        <w:rPr>
          <w:rFonts w:cs="Arial"/>
          <w:lang w:val="en-US"/>
        </w:rPr>
        <w:t>tained</w:t>
      </w:r>
      <w:r w:rsidRPr="00671A57">
        <w:rPr>
          <w:rFonts w:cs="Arial"/>
          <w:lang w:val="en-US"/>
        </w:rPr>
        <w:t xml:space="preserve"> by nucleophilic substitution of</w:t>
      </w:r>
      <w:r w:rsidR="00565977" w:rsidRPr="00671A57">
        <w:rPr>
          <w:rFonts w:cs="Arial"/>
          <w:lang w:val="en-US"/>
        </w:rPr>
        <w:t xml:space="preserve"> 1</w:t>
      </w:r>
      <w:r w:rsidR="00B22C3E" w:rsidRPr="00671A57">
        <w:rPr>
          <w:rFonts w:cs="Arial"/>
          <w:lang w:val="en-US"/>
        </w:rPr>
        <w:noBreakHyphen/>
      </w:r>
      <w:r w:rsidR="00565977" w:rsidRPr="00671A57">
        <w:rPr>
          <w:rFonts w:cs="Arial"/>
          <w:lang w:val="en-US"/>
        </w:rPr>
        <w:t xml:space="preserve">methylimidazole and 1-chlorobutane </w:t>
      </w:r>
      <w:r w:rsidR="00C300FE" w:rsidRPr="00671A57">
        <w:rPr>
          <w:rFonts w:cs="Arial"/>
          <w:lang w:val="en-US"/>
        </w:rPr>
        <w:t>under solven</w:t>
      </w:r>
      <w:r w:rsidR="00A468BB" w:rsidRPr="00671A57">
        <w:rPr>
          <w:rFonts w:cs="Arial"/>
          <w:lang w:val="en-US"/>
        </w:rPr>
        <w:t>t-free conditions. The reaction</w:t>
      </w:r>
      <w:r w:rsidR="00C300FE" w:rsidRPr="00671A57">
        <w:rPr>
          <w:rFonts w:cs="Arial"/>
          <w:lang w:val="en-US"/>
        </w:rPr>
        <w:t xml:space="preserve"> is slightly exothermal as observed by the temperature increase upon the addition of the </w:t>
      </w:r>
      <w:proofErr w:type="spellStart"/>
      <w:r w:rsidR="00C300FE" w:rsidRPr="00671A57">
        <w:rPr>
          <w:rFonts w:cs="Arial"/>
          <w:lang w:val="en-US"/>
        </w:rPr>
        <w:t>chloroalkane</w:t>
      </w:r>
      <w:proofErr w:type="spellEnd"/>
      <w:r w:rsidR="00C300FE" w:rsidRPr="00671A57">
        <w:rPr>
          <w:rFonts w:cs="Arial"/>
          <w:lang w:val="en-US"/>
        </w:rPr>
        <w:t>. The viscosity increase during the reaction is attributed to the formation of the IL showing a higher viscosity than the molecular precursors. The IL has a high polarity resulting from its ionic constitution resulting in a very low miscibility with ethyl acetate with has a comparably low polarity</w:t>
      </w:r>
      <w:r w:rsidR="00B22C3E" w:rsidRPr="00671A57">
        <w:rPr>
          <w:rFonts w:cs="Arial"/>
          <w:lang w:val="en-US"/>
        </w:rPr>
        <w:t xml:space="preserve"> forming a biphasic system. By this way ethyl acetate can be used as extraction agent for the removal of excess educts or molecular impurities formed during the synthesis. If the IL is not dried in oil pump vacuum some traces of 1-methylimidazole may remain in the product. Anyway the IL is sufficiently pure and suitable for the experiments described in the manuscript. </w:t>
      </w:r>
      <w:r w:rsidR="00AE52A5" w:rsidRPr="00671A57">
        <w:rPr>
          <w:rFonts w:cs="Arial"/>
          <w:lang w:val="en-US"/>
        </w:rPr>
        <w:t>A yield</w:t>
      </w:r>
      <w:r w:rsidR="00B22C3E" w:rsidRPr="00671A57">
        <w:rPr>
          <w:rFonts w:cs="Arial"/>
          <w:lang w:val="en-US"/>
        </w:rPr>
        <w:t xml:space="preserve"> of about 80% is observed for the reaction performed this way.</w:t>
      </w:r>
    </w:p>
    <w:p w:rsidR="00A81E3C" w:rsidRPr="00671A57" w:rsidRDefault="00630619" w:rsidP="00671A57">
      <w:pPr>
        <w:pStyle w:val="berschrift2"/>
        <w:rPr>
          <w:lang w:val="en-US"/>
        </w:rPr>
      </w:pPr>
      <w:bookmarkStart w:id="6" w:name="_Toc490738015"/>
      <w:r w:rsidRPr="00671A57">
        <w:rPr>
          <w:lang w:val="en-US"/>
        </w:rPr>
        <w:lastRenderedPageBreak/>
        <w:t xml:space="preserve">1.2 Synthesis of </w:t>
      </w:r>
      <w:proofErr w:type="spellStart"/>
      <w:r w:rsidRPr="00671A57">
        <w:rPr>
          <w:lang w:val="en-US"/>
        </w:rPr>
        <w:t>triethylammonium</w:t>
      </w:r>
      <w:proofErr w:type="spellEnd"/>
      <w:r w:rsidRPr="00671A57">
        <w:rPr>
          <w:lang w:val="en-US"/>
        </w:rPr>
        <w:t xml:space="preserve"> </w:t>
      </w:r>
      <w:proofErr w:type="spellStart"/>
      <w:r w:rsidRPr="00671A57">
        <w:rPr>
          <w:lang w:val="en-US"/>
        </w:rPr>
        <w:t>methanesulfonate</w:t>
      </w:r>
      <w:proofErr w:type="spellEnd"/>
      <w:r w:rsidRPr="00671A57">
        <w:rPr>
          <w:lang w:val="en-US"/>
        </w:rPr>
        <w:t xml:space="preserve"> [Et</w:t>
      </w:r>
      <w:r w:rsidRPr="00671A57">
        <w:rPr>
          <w:vertAlign w:val="subscript"/>
          <w:lang w:val="en-US"/>
        </w:rPr>
        <w:t>3</w:t>
      </w:r>
      <w:r w:rsidRPr="00671A57">
        <w:rPr>
          <w:lang w:val="en-US"/>
        </w:rPr>
        <w:t>NH</w:t>
      </w:r>
      <w:proofErr w:type="gramStart"/>
      <w:r w:rsidRPr="00671A57">
        <w:rPr>
          <w:lang w:val="en-US"/>
        </w:rPr>
        <w:t>][</w:t>
      </w:r>
      <w:proofErr w:type="gramEnd"/>
      <w:r w:rsidRPr="00671A57">
        <w:rPr>
          <w:lang w:val="en-US"/>
        </w:rPr>
        <w:t>SO</w:t>
      </w:r>
      <w:r w:rsidRPr="00671A57">
        <w:rPr>
          <w:vertAlign w:val="subscript"/>
          <w:lang w:val="en-US"/>
        </w:rPr>
        <w:t>3</w:t>
      </w:r>
      <w:r w:rsidRPr="00671A57">
        <w:rPr>
          <w:lang w:val="en-US"/>
        </w:rPr>
        <w:t>Me]</w:t>
      </w:r>
      <w:bookmarkEnd w:id="6"/>
    </w:p>
    <w:p w:rsidR="00630619" w:rsidRPr="00671A57" w:rsidRDefault="00630619" w:rsidP="00630619">
      <w:pPr>
        <w:jc w:val="both"/>
        <w:rPr>
          <w:rFonts w:cs="Arial"/>
          <w:lang w:val="en-US"/>
        </w:rPr>
      </w:pPr>
      <w:r w:rsidRPr="00671A57">
        <w:rPr>
          <w:rFonts w:cs="Arial"/>
          <w:lang w:val="en-US"/>
        </w:rPr>
        <w:t xml:space="preserve">The </w:t>
      </w:r>
      <w:proofErr w:type="spellStart"/>
      <w:r w:rsidRPr="00671A57">
        <w:rPr>
          <w:rFonts w:cs="Arial"/>
          <w:lang w:val="en-US"/>
        </w:rPr>
        <w:t>protic</w:t>
      </w:r>
      <w:proofErr w:type="spellEnd"/>
      <w:r w:rsidRPr="00671A57">
        <w:rPr>
          <w:rFonts w:cs="Arial"/>
          <w:lang w:val="en-US"/>
        </w:rPr>
        <w:t xml:space="preserve"> ionic liquid </w:t>
      </w:r>
      <w:proofErr w:type="spellStart"/>
      <w:r w:rsidRPr="00671A57">
        <w:rPr>
          <w:rFonts w:cs="Arial"/>
          <w:lang w:val="en-US"/>
        </w:rPr>
        <w:t>triethylammonium</w:t>
      </w:r>
      <w:proofErr w:type="spellEnd"/>
      <w:r w:rsidRPr="00671A57">
        <w:rPr>
          <w:rFonts w:cs="Arial"/>
          <w:lang w:val="en-US"/>
        </w:rPr>
        <w:t xml:space="preserve"> </w:t>
      </w:r>
      <w:proofErr w:type="spellStart"/>
      <w:r w:rsidRPr="00671A57">
        <w:rPr>
          <w:rFonts w:cs="Arial"/>
          <w:lang w:val="en-US"/>
        </w:rPr>
        <w:t>methanesulfonate</w:t>
      </w:r>
      <w:proofErr w:type="spellEnd"/>
      <w:r w:rsidRPr="00671A57">
        <w:rPr>
          <w:rFonts w:cs="Arial"/>
          <w:lang w:val="en-US"/>
        </w:rPr>
        <w:t xml:space="preserve"> [Et</w:t>
      </w:r>
      <w:r w:rsidRPr="00671A57">
        <w:rPr>
          <w:rFonts w:cs="Arial"/>
          <w:vertAlign w:val="subscript"/>
          <w:lang w:val="en-US"/>
        </w:rPr>
        <w:t>3</w:t>
      </w:r>
      <w:r w:rsidRPr="00671A57">
        <w:rPr>
          <w:rFonts w:cs="Arial"/>
          <w:lang w:val="en-US"/>
        </w:rPr>
        <w:t>NH</w:t>
      </w:r>
      <w:proofErr w:type="gramStart"/>
      <w:r w:rsidRPr="00671A57">
        <w:rPr>
          <w:rFonts w:cs="Arial"/>
          <w:lang w:val="en-US"/>
        </w:rPr>
        <w:t>][</w:t>
      </w:r>
      <w:proofErr w:type="gramEnd"/>
      <w:r w:rsidRPr="00671A57">
        <w:rPr>
          <w:rFonts w:cs="Arial"/>
          <w:lang w:val="en-US"/>
        </w:rPr>
        <w:t>SO</w:t>
      </w:r>
      <w:r w:rsidRPr="00671A57">
        <w:rPr>
          <w:rFonts w:cs="Arial"/>
          <w:vertAlign w:val="subscript"/>
          <w:lang w:val="en-US"/>
        </w:rPr>
        <w:t>3</w:t>
      </w:r>
      <w:r w:rsidRPr="00671A57">
        <w:rPr>
          <w:rFonts w:cs="Arial"/>
          <w:lang w:val="en-US"/>
        </w:rPr>
        <w:t>Me]</w:t>
      </w:r>
      <w:r w:rsidRPr="00671A57">
        <w:rPr>
          <w:rFonts w:cs="Arial"/>
          <w:b/>
          <w:lang w:val="en-US"/>
        </w:rPr>
        <w:t xml:space="preserve"> </w:t>
      </w:r>
      <w:r w:rsidRPr="00671A57">
        <w:rPr>
          <w:rFonts w:cs="Arial"/>
          <w:lang w:val="en-US"/>
        </w:rPr>
        <w:t>is synthesized by acid-base neutralization reaction as shown in scheme 2</w:t>
      </w:r>
      <w:r w:rsidR="00FE3554" w:rsidRPr="00671A57">
        <w:rPr>
          <w:rFonts w:cs="Arial"/>
          <w:lang w:val="en-US"/>
        </w:rPr>
        <w:t>. The procedure</w:t>
      </w:r>
      <w:r w:rsidRPr="00671A57">
        <w:rPr>
          <w:rFonts w:cs="Arial"/>
          <w:lang w:val="en-US"/>
        </w:rPr>
        <w:t xml:space="preserve"> can</w:t>
      </w:r>
      <w:r w:rsidR="00FE3554" w:rsidRPr="00671A57">
        <w:rPr>
          <w:rFonts w:cs="Arial"/>
          <w:lang w:val="en-US"/>
        </w:rPr>
        <w:t xml:space="preserve"> in principle</w:t>
      </w:r>
      <w:r w:rsidRPr="00671A57">
        <w:rPr>
          <w:rFonts w:cs="Arial"/>
          <w:lang w:val="en-US"/>
        </w:rPr>
        <w:t xml:space="preserve"> be scaled up or do</w:t>
      </w:r>
      <w:r w:rsidR="00FE3554" w:rsidRPr="00671A57">
        <w:rPr>
          <w:rFonts w:cs="Arial"/>
          <w:lang w:val="en-US"/>
        </w:rPr>
        <w:t>wn according to individual needs</w:t>
      </w:r>
      <w:r w:rsidRPr="00671A57">
        <w:rPr>
          <w:rFonts w:cs="Arial"/>
          <w:lang w:val="en-US"/>
        </w:rPr>
        <w:t>.</w:t>
      </w:r>
      <w:r w:rsidR="00FE3554" w:rsidRPr="00671A57">
        <w:rPr>
          <w:rFonts w:cs="Arial"/>
          <w:lang w:val="en-US"/>
        </w:rPr>
        <w:t xml:space="preserve"> For larger upscaling an appropriate cooling is recommended as the reaction is highly exothermic.</w:t>
      </w:r>
      <w:r w:rsidRPr="00671A57">
        <w:rPr>
          <w:rFonts w:cs="Arial"/>
          <w:lang w:val="en-US"/>
        </w:rPr>
        <w:t xml:space="preserve"> The given amounts </w:t>
      </w:r>
      <w:r w:rsidR="00FE3554" w:rsidRPr="00671A57">
        <w:rPr>
          <w:rFonts w:cs="Arial"/>
          <w:lang w:val="en-US"/>
        </w:rPr>
        <w:t xml:space="preserve">needed for the preparation </w:t>
      </w:r>
      <w:r w:rsidRPr="00671A57">
        <w:rPr>
          <w:rFonts w:cs="Arial"/>
          <w:lang w:val="en-US"/>
        </w:rPr>
        <w:t>are calculated</w:t>
      </w:r>
      <w:r w:rsidR="00FE3554" w:rsidRPr="00671A57">
        <w:rPr>
          <w:rFonts w:cs="Arial"/>
          <w:lang w:val="en-US"/>
        </w:rPr>
        <w:t xml:space="preserve"> to quantitative yield.</w:t>
      </w:r>
      <w:r w:rsidR="00D94A4B" w:rsidRPr="00671A57">
        <w:rPr>
          <w:rFonts w:cs="Arial"/>
          <w:lang w:val="en-US"/>
        </w:rPr>
        <w:t xml:space="preserve"> A slight excess of </w:t>
      </w:r>
      <w:proofErr w:type="spellStart"/>
      <w:r w:rsidR="00D94A4B" w:rsidRPr="00671A57">
        <w:rPr>
          <w:rFonts w:cs="Arial"/>
          <w:lang w:val="en-US"/>
        </w:rPr>
        <w:t>triethylamine</w:t>
      </w:r>
      <w:proofErr w:type="spellEnd"/>
      <w:r w:rsidR="00D94A4B" w:rsidRPr="00671A57">
        <w:rPr>
          <w:rFonts w:cs="Arial"/>
          <w:lang w:val="en-US"/>
        </w:rPr>
        <w:t xml:space="preserve"> </w:t>
      </w:r>
      <w:r w:rsidR="00242613">
        <w:rPr>
          <w:rFonts w:cs="Arial"/>
          <w:lang w:val="en-US"/>
        </w:rPr>
        <w:t xml:space="preserve">is </w:t>
      </w:r>
      <w:r w:rsidR="00D94A4B" w:rsidRPr="00671A57">
        <w:rPr>
          <w:rFonts w:cs="Arial"/>
          <w:lang w:val="en-US"/>
        </w:rPr>
        <w:t xml:space="preserve">used to ensure stoichiometric reaction and absence of </w:t>
      </w:r>
      <w:proofErr w:type="spellStart"/>
      <w:r w:rsidR="00D94A4B" w:rsidRPr="00671A57">
        <w:rPr>
          <w:rFonts w:cs="Arial"/>
          <w:lang w:val="en-US"/>
        </w:rPr>
        <w:t>methanesulfonic</w:t>
      </w:r>
      <w:proofErr w:type="spellEnd"/>
      <w:r w:rsidR="00D94A4B" w:rsidRPr="00671A57">
        <w:rPr>
          <w:rFonts w:cs="Arial"/>
          <w:lang w:val="en-US"/>
        </w:rPr>
        <w:t xml:space="preserve"> acid in the resulting IL.</w:t>
      </w:r>
    </w:p>
    <w:p w:rsidR="00630619" w:rsidRPr="00671A57" w:rsidRDefault="00630619" w:rsidP="00630619">
      <w:pPr>
        <w:rPr>
          <w:rFonts w:cs="Arial"/>
          <w:lang w:val="en-US"/>
        </w:rPr>
      </w:pPr>
      <w:r w:rsidRPr="00671A57">
        <w:rPr>
          <w:rFonts w:cs="Arial"/>
          <w:noProof/>
          <w:lang w:eastAsia="de-DE"/>
        </w:rPr>
        <w:drawing>
          <wp:inline distT="0" distB="0" distL="0" distR="0" wp14:anchorId="52ABB738" wp14:editId="20A0D3EF">
            <wp:extent cx="5575056" cy="1609725"/>
            <wp:effectExtent l="0" t="0" r="698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IM Cl synthesi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5650" cy="1612784"/>
                    </a:xfrm>
                    <a:prstGeom prst="rect">
                      <a:avLst/>
                    </a:prstGeom>
                  </pic:spPr>
                </pic:pic>
              </a:graphicData>
            </a:graphic>
          </wp:inline>
        </w:drawing>
      </w:r>
    </w:p>
    <w:p w:rsidR="00FE3554" w:rsidRPr="00671A57" w:rsidRDefault="00630619" w:rsidP="00671A57">
      <w:pPr>
        <w:spacing w:after="360"/>
        <w:jc w:val="both"/>
        <w:rPr>
          <w:rFonts w:cs="Arial"/>
          <w:lang w:val="en-US"/>
        </w:rPr>
      </w:pPr>
      <w:r w:rsidRPr="00671A57">
        <w:rPr>
          <w:rFonts w:cs="Arial"/>
          <w:b/>
          <w:lang w:val="en-US"/>
        </w:rPr>
        <w:t xml:space="preserve">Scheme </w:t>
      </w:r>
      <w:r w:rsidR="00671A57" w:rsidRPr="00671A57">
        <w:rPr>
          <w:rFonts w:cs="Arial"/>
          <w:b/>
          <w:lang w:val="en-US"/>
        </w:rPr>
        <w:t>2</w:t>
      </w:r>
      <w:r w:rsidRPr="00671A57">
        <w:rPr>
          <w:rFonts w:cs="Arial"/>
          <w:lang w:val="en-US"/>
        </w:rPr>
        <w:t xml:space="preserve">. Synthesis of </w:t>
      </w:r>
      <w:r w:rsidR="00FE3554" w:rsidRPr="00671A57">
        <w:rPr>
          <w:rFonts w:cs="Arial"/>
          <w:lang w:val="en-US"/>
        </w:rPr>
        <w:t>[Et</w:t>
      </w:r>
      <w:r w:rsidR="00FE3554" w:rsidRPr="00671A57">
        <w:rPr>
          <w:rFonts w:cs="Arial"/>
          <w:vertAlign w:val="subscript"/>
          <w:lang w:val="en-US"/>
        </w:rPr>
        <w:t>3</w:t>
      </w:r>
      <w:r w:rsidR="00FE3554" w:rsidRPr="00671A57">
        <w:rPr>
          <w:rFonts w:cs="Arial"/>
          <w:lang w:val="en-US"/>
        </w:rPr>
        <w:t>NH</w:t>
      </w:r>
      <w:proofErr w:type="gramStart"/>
      <w:r w:rsidR="00FE3554" w:rsidRPr="00671A57">
        <w:rPr>
          <w:rFonts w:cs="Arial"/>
          <w:lang w:val="en-US"/>
        </w:rPr>
        <w:t>][</w:t>
      </w:r>
      <w:proofErr w:type="gramEnd"/>
      <w:r w:rsidR="00FE3554" w:rsidRPr="00671A57">
        <w:rPr>
          <w:rFonts w:cs="Arial"/>
          <w:lang w:val="en-US"/>
        </w:rPr>
        <w:t>SO</w:t>
      </w:r>
      <w:r w:rsidR="00FE3554" w:rsidRPr="00671A57">
        <w:rPr>
          <w:rFonts w:cs="Arial"/>
          <w:vertAlign w:val="subscript"/>
          <w:lang w:val="en-US"/>
        </w:rPr>
        <w:t>3</w:t>
      </w:r>
      <w:r w:rsidR="00FE3554" w:rsidRPr="00671A57">
        <w:rPr>
          <w:rFonts w:cs="Arial"/>
          <w:lang w:val="en-US"/>
        </w:rPr>
        <w:t>Me]</w:t>
      </w:r>
      <w:r w:rsidR="00FE3554" w:rsidRPr="00671A57">
        <w:rPr>
          <w:rFonts w:cs="Arial"/>
          <w:b/>
          <w:lang w:val="en-US"/>
        </w:rPr>
        <w:t xml:space="preserve"> </w:t>
      </w:r>
      <w:r w:rsidRPr="00671A57">
        <w:rPr>
          <w:rFonts w:cs="Arial"/>
          <w:lang w:val="en-US"/>
        </w:rPr>
        <w:t xml:space="preserve">by </w:t>
      </w:r>
      <w:r w:rsidR="00FE3554" w:rsidRPr="00671A57">
        <w:rPr>
          <w:rFonts w:cs="Arial"/>
          <w:lang w:val="en-US"/>
        </w:rPr>
        <w:t>acid-base neutralization</w:t>
      </w:r>
      <w:r w:rsidRPr="00671A57">
        <w:rPr>
          <w:rFonts w:cs="Arial"/>
          <w:lang w:val="en-US"/>
        </w:rPr>
        <w:t xml:space="preserve"> of </w:t>
      </w:r>
      <w:r w:rsidR="00FE3554" w:rsidRPr="00671A57">
        <w:rPr>
          <w:rFonts w:cs="Arial"/>
          <w:lang w:val="en-US"/>
        </w:rPr>
        <w:t>trimethylamine and methane sulfonic acid</w:t>
      </w:r>
      <w:r w:rsidRPr="00671A57">
        <w:rPr>
          <w:rFonts w:cs="Arial"/>
          <w:lang w:val="en-US"/>
        </w:rPr>
        <w:t>.</w:t>
      </w:r>
    </w:p>
    <w:p w:rsidR="00630619" w:rsidRPr="00671A57" w:rsidRDefault="00630619" w:rsidP="00630619">
      <w:pPr>
        <w:jc w:val="both"/>
        <w:rPr>
          <w:rFonts w:cs="Arial"/>
          <w:lang w:val="en-US"/>
        </w:rPr>
      </w:pPr>
      <w:r w:rsidRPr="00671A57">
        <w:rPr>
          <w:rFonts w:cs="Arial"/>
          <w:i/>
          <w:lang w:val="en-US"/>
        </w:rPr>
        <w:t>Equipment and glassware</w:t>
      </w:r>
      <w:r w:rsidRPr="00671A57">
        <w:rPr>
          <w:rFonts w:cs="Arial"/>
          <w:lang w:val="en-US"/>
        </w:rPr>
        <w:t xml:space="preserve">: </w:t>
      </w:r>
      <w:r w:rsidR="00FE3554" w:rsidRPr="00671A57">
        <w:rPr>
          <w:rFonts w:cs="Arial"/>
          <w:lang w:val="en-US"/>
        </w:rPr>
        <w:t>500</w:t>
      </w:r>
      <w:r w:rsidRPr="00671A57">
        <w:rPr>
          <w:rFonts w:cs="Arial"/>
          <w:lang w:val="en-US"/>
        </w:rPr>
        <w:t xml:space="preserve"> mL t</w:t>
      </w:r>
      <w:r w:rsidR="00FE3554" w:rsidRPr="00671A57">
        <w:rPr>
          <w:rFonts w:cs="Arial"/>
          <w:lang w:val="en-US"/>
        </w:rPr>
        <w:t>wo</w:t>
      </w:r>
      <w:r w:rsidRPr="00671A57">
        <w:rPr>
          <w:rFonts w:cs="Arial"/>
          <w:lang w:val="en-US"/>
        </w:rPr>
        <w:t xml:space="preserve">-necked round bottom flask, thermometer with adapter, </w:t>
      </w:r>
      <w:r w:rsidR="00925332" w:rsidRPr="00671A57">
        <w:rPr>
          <w:rFonts w:cs="Arial"/>
          <w:lang w:val="en-US"/>
        </w:rPr>
        <w:t xml:space="preserve">dropping funnel, </w:t>
      </w:r>
      <w:r w:rsidRPr="00671A57">
        <w:rPr>
          <w:rFonts w:cs="Arial"/>
          <w:lang w:val="en-US"/>
        </w:rPr>
        <w:t xml:space="preserve">graduated cylinder, magnetic stirrer, magnetic stir bar, rotary evaporator or distillation apparatus, oil-pump and cooling trap (optional).   </w:t>
      </w:r>
    </w:p>
    <w:p w:rsidR="00D94A4B" w:rsidRPr="004A6273" w:rsidRDefault="00630619" w:rsidP="004A6273">
      <w:pPr>
        <w:spacing w:after="480"/>
        <w:jc w:val="both"/>
        <w:rPr>
          <w:rFonts w:cs="Arial"/>
          <w:lang w:val="en-US"/>
        </w:rPr>
      </w:pPr>
      <w:r w:rsidRPr="00671A57">
        <w:rPr>
          <w:rFonts w:cs="Arial"/>
          <w:i/>
          <w:lang w:val="en-US"/>
        </w:rPr>
        <w:t>Chemicals</w:t>
      </w:r>
      <w:r w:rsidRPr="00671A57">
        <w:rPr>
          <w:rFonts w:cs="Arial"/>
          <w:lang w:val="en-US"/>
        </w:rPr>
        <w:t xml:space="preserve">: </w:t>
      </w:r>
      <w:proofErr w:type="spellStart"/>
      <w:r w:rsidR="00925332" w:rsidRPr="00671A57">
        <w:rPr>
          <w:rFonts w:cs="Arial"/>
          <w:lang w:val="en-US"/>
        </w:rPr>
        <w:t>triethylamine</w:t>
      </w:r>
      <w:proofErr w:type="spellEnd"/>
      <w:r w:rsidRPr="00671A57">
        <w:rPr>
          <w:rFonts w:cs="Arial"/>
          <w:lang w:val="en-US"/>
        </w:rPr>
        <w:t xml:space="preserve">, </w:t>
      </w:r>
      <w:r w:rsidR="00925332" w:rsidRPr="00671A57">
        <w:rPr>
          <w:rFonts w:cs="Arial"/>
          <w:lang w:val="en-US"/>
        </w:rPr>
        <w:t>methane sulfonic acid</w:t>
      </w:r>
      <w:r w:rsidRPr="00671A57">
        <w:rPr>
          <w:rFonts w:cs="Arial"/>
          <w:lang w:val="en-US"/>
        </w:rPr>
        <w:t xml:space="preserve">, </w:t>
      </w:r>
      <w:r w:rsidR="00925332" w:rsidRPr="00671A57">
        <w:rPr>
          <w:rFonts w:cs="Arial"/>
          <w:lang w:val="en-US"/>
        </w:rPr>
        <w:t>distilled water</w:t>
      </w:r>
      <w:r w:rsidRPr="00671A57">
        <w:rPr>
          <w:rFonts w:cs="Arial"/>
          <w:lang w:val="en-US"/>
        </w:rPr>
        <w:t xml:space="preserve">. The corresponding GHS-classifications along with hazard and precaution statements are listed in </w:t>
      </w:r>
      <w:r w:rsidR="002B39BC">
        <w:rPr>
          <w:rFonts w:cs="Arial"/>
          <w:lang w:val="en-US"/>
        </w:rPr>
        <w:fldChar w:fldCharType="begin"/>
      </w:r>
      <w:r w:rsidR="002B39BC">
        <w:rPr>
          <w:rFonts w:cs="Arial"/>
          <w:lang w:val="en-US"/>
        </w:rPr>
        <w:instrText xml:space="preserve"> REF _Ref484768567 \h </w:instrText>
      </w:r>
      <w:r w:rsidR="002B39BC">
        <w:rPr>
          <w:rFonts w:cs="Arial"/>
          <w:lang w:val="en-US"/>
        </w:rPr>
      </w:r>
      <w:r w:rsidR="002B39BC">
        <w:rPr>
          <w:rFonts w:cs="Arial"/>
          <w:lang w:val="en-US"/>
        </w:rPr>
        <w:fldChar w:fldCharType="separate"/>
      </w:r>
      <w:r w:rsidR="002B39BC" w:rsidRPr="00671A57">
        <w:rPr>
          <w:lang w:val="en-US"/>
        </w:rPr>
        <w:t xml:space="preserve">Table </w:t>
      </w:r>
      <w:r w:rsidR="002B39BC">
        <w:rPr>
          <w:noProof/>
          <w:lang w:val="en-US"/>
        </w:rPr>
        <w:t>3</w:t>
      </w:r>
      <w:r w:rsidR="002B39BC">
        <w:rPr>
          <w:rFonts w:cs="Arial"/>
          <w:lang w:val="en-US"/>
        </w:rPr>
        <w:fldChar w:fldCharType="end"/>
      </w:r>
      <w:r w:rsidRPr="00671A57">
        <w:rPr>
          <w:rFonts w:cs="Arial"/>
          <w:lang w:val="en-US"/>
        </w:rPr>
        <w:t xml:space="preserve">. The </w:t>
      </w:r>
      <w:r w:rsidR="001B6306" w:rsidRPr="00671A57">
        <w:rPr>
          <w:rFonts w:cs="Arial"/>
          <w:lang w:val="en-US"/>
        </w:rPr>
        <w:t>amounts of substances for 100 g theoretical yield are</w:t>
      </w:r>
      <w:r w:rsidRPr="00671A57">
        <w:rPr>
          <w:rFonts w:cs="Arial"/>
          <w:lang w:val="en-US"/>
        </w:rPr>
        <w:t xml:space="preserve"> given in</w:t>
      </w:r>
      <w:r w:rsidR="002B39BC">
        <w:rPr>
          <w:rFonts w:cs="Arial"/>
          <w:lang w:val="en-US"/>
        </w:rPr>
        <w:t xml:space="preserve"> </w:t>
      </w:r>
      <w:r w:rsidR="002B39BC">
        <w:rPr>
          <w:rFonts w:cs="Arial"/>
          <w:lang w:val="en-US"/>
        </w:rPr>
        <w:fldChar w:fldCharType="begin"/>
      </w:r>
      <w:r w:rsidR="002B39BC">
        <w:rPr>
          <w:rFonts w:cs="Arial"/>
          <w:lang w:val="en-US"/>
        </w:rPr>
        <w:instrText xml:space="preserve"> REF _Ref484768549 \h </w:instrText>
      </w:r>
      <w:r w:rsidR="002B39BC">
        <w:rPr>
          <w:rFonts w:cs="Arial"/>
          <w:lang w:val="en-US"/>
        </w:rPr>
      </w:r>
      <w:r w:rsidR="002B39BC">
        <w:rPr>
          <w:rFonts w:cs="Arial"/>
          <w:lang w:val="en-US"/>
        </w:rPr>
        <w:fldChar w:fldCharType="separate"/>
      </w:r>
      <w:r w:rsidR="002B39BC" w:rsidRPr="00671A57">
        <w:rPr>
          <w:lang w:val="en-US"/>
        </w:rPr>
        <w:t xml:space="preserve">Table </w:t>
      </w:r>
      <w:r w:rsidR="002B39BC">
        <w:rPr>
          <w:noProof/>
          <w:lang w:val="en-US"/>
        </w:rPr>
        <w:t>4</w:t>
      </w:r>
      <w:r w:rsidR="002B39BC">
        <w:rPr>
          <w:rFonts w:cs="Arial"/>
          <w:lang w:val="en-US"/>
        </w:rPr>
        <w:fldChar w:fldCharType="end"/>
      </w:r>
      <w:r w:rsidR="004A6273">
        <w:rPr>
          <w:rFonts w:cs="Arial"/>
          <w:lang w:val="en-US"/>
        </w:rPr>
        <w:t xml:space="preserve">. </w:t>
      </w:r>
    </w:p>
    <w:p w:rsidR="00FE3554" w:rsidRPr="00671A57" w:rsidRDefault="00671A57" w:rsidP="00671A57">
      <w:pPr>
        <w:pStyle w:val="Beschriftung"/>
        <w:rPr>
          <w:szCs w:val="22"/>
          <w:lang w:val="en-US"/>
        </w:rPr>
      </w:pPr>
      <w:bookmarkStart w:id="7" w:name="_Ref484768567"/>
      <w:r w:rsidRPr="00671A57">
        <w:rPr>
          <w:szCs w:val="22"/>
          <w:lang w:val="en-US"/>
        </w:rPr>
        <w:t xml:space="preserve">Table </w:t>
      </w:r>
      <w:r w:rsidRPr="00671A57">
        <w:rPr>
          <w:szCs w:val="22"/>
        </w:rPr>
        <w:fldChar w:fldCharType="begin"/>
      </w:r>
      <w:r w:rsidRPr="00671A57">
        <w:rPr>
          <w:szCs w:val="22"/>
          <w:lang w:val="en-US"/>
        </w:rPr>
        <w:instrText xml:space="preserve"> SEQ Table \* ARABIC </w:instrText>
      </w:r>
      <w:r w:rsidRPr="00671A57">
        <w:rPr>
          <w:szCs w:val="22"/>
        </w:rPr>
        <w:fldChar w:fldCharType="separate"/>
      </w:r>
      <w:r w:rsidR="00A758AE">
        <w:rPr>
          <w:noProof/>
          <w:szCs w:val="22"/>
          <w:lang w:val="en-US"/>
        </w:rPr>
        <w:t>3</w:t>
      </w:r>
      <w:r w:rsidRPr="00671A57">
        <w:rPr>
          <w:szCs w:val="22"/>
        </w:rPr>
        <w:fldChar w:fldCharType="end"/>
      </w:r>
      <w:bookmarkEnd w:id="7"/>
      <w:r w:rsidRPr="00671A57">
        <w:rPr>
          <w:szCs w:val="22"/>
          <w:lang w:val="en-US"/>
        </w:rPr>
        <w:t xml:space="preserve">. </w:t>
      </w:r>
      <w:r w:rsidR="00FE3554" w:rsidRPr="00671A57">
        <w:rPr>
          <w:b w:val="0"/>
          <w:szCs w:val="22"/>
          <w:lang w:val="en-US"/>
        </w:rPr>
        <w:t>GHS-classification along with hazards and precaution statements for the synthesis of [</w:t>
      </w:r>
      <w:r w:rsidR="00925332" w:rsidRPr="00671A57">
        <w:rPr>
          <w:b w:val="0"/>
          <w:szCs w:val="22"/>
          <w:lang w:val="en-US"/>
        </w:rPr>
        <w:t>Et</w:t>
      </w:r>
      <w:r w:rsidR="00925332" w:rsidRPr="00671A57">
        <w:rPr>
          <w:b w:val="0"/>
          <w:szCs w:val="22"/>
          <w:vertAlign w:val="subscript"/>
          <w:lang w:val="en-US"/>
        </w:rPr>
        <w:t>3</w:t>
      </w:r>
      <w:r w:rsidR="00925332" w:rsidRPr="00671A57">
        <w:rPr>
          <w:b w:val="0"/>
          <w:szCs w:val="22"/>
          <w:lang w:val="en-US"/>
        </w:rPr>
        <w:t>NH</w:t>
      </w:r>
      <w:proofErr w:type="gramStart"/>
      <w:r w:rsidR="00925332" w:rsidRPr="00671A57">
        <w:rPr>
          <w:b w:val="0"/>
          <w:szCs w:val="22"/>
          <w:lang w:val="en-US"/>
        </w:rPr>
        <w:t>][</w:t>
      </w:r>
      <w:proofErr w:type="gramEnd"/>
      <w:r w:rsidR="00925332" w:rsidRPr="00671A57">
        <w:rPr>
          <w:b w:val="0"/>
          <w:szCs w:val="22"/>
          <w:lang w:val="en-US"/>
        </w:rPr>
        <w:t>SO</w:t>
      </w:r>
      <w:r w:rsidR="00925332" w:rsidRPr="00671A57">
        <w:rPr>
          <w:b w:val="0"/>
          <w:szCs w:val="22"/>
          <w:vertAlign w:val="subscript"/>
          <w:lang w:val="en-US"/>
        </w:rPr>
        <w:t>3</w:t>
      </w:r>
      <w:r w:rsidR="00925332" w:rsidRPr="00671A57">
        <w:rPr>
          <w:b w:val="0"/>
          <w:szCs w:val="22"/>
          <w:lang w:val="en-US"/>
        </w:rPr>
        <w:t>Me</w:t>
      </w:r>
      <w:r w:rsidR="00FE3554" w:rsidRPr="00671A57">
        <w:rPr>
          <w:b w:val="0"/>
          <w:szCs w:val="22"/>
          <w:lang w:val="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2101"/>
        <w:gridCol w:w="1442"/>
        <w:gridCol w:w="2376"/>
      </w:tblGrid>
      <w:tr w:rsidR="00FE3554" w:rsidRPr="00671A57" w:rsidTr="003754D2">
        <w:tc>
          <w:tcPr>
            <w:tcW w:w="1951"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 xml:space="preserve">Substance name </w:t>
            </w:r>
          </w:p>
        </w:tc>
        <w:tc>
          <w:tcPr>
            <w:tcW w:w="1418"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CAS</w:t>
            </w:r>
            <w:r w:rsidR="006B2694" w:rsidRPr="00671A57">
              <w:rPr>
                <w:rFonts w:cs="Arial"/>
                <w:lang w:val="en-US"/>
              </w:rPr>
              <w:t>-Number</w:t>
            </w:r>
            <w:r w:rsidRPr="00671A57">
              <w:rPr>
                <w:rFonts w:cs="Arial"/>
                <w:lang w:val="en-US"/>
              </w:rPr>
              <w:t xml:space="preserve"> </w:t>
            </w:r>
          </w:p>
        </w:tc>
        <w:tc>
          <w:tcPr>
            <w:tcW w:w="2101"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GHS-classification</w:t>
            </w:r>
          </w:p>
        </w:tc>
        <w:tc>
          <w:tcPr>
            <w:tcW w:w="1442"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H-phrases</w:t>
            </w:r>
          </w:p>
        </w:tc>
        <w:tc>
          <w:tcPr>
            <w:tcW w:w="2376"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P-phrases</w:t>
            </w:r>
          </w:p>
        </w:tc>
      </w:tr>
      <w:tr w:rsidR="003754D2" w:rsidRPr="00B1390F" w:rsidTr="003754D2">
        <w:tc>
          <w:tcPr>
            <w:tcW w:w="1951" w:type="dxa"/>
            <w:tcBorders>
              <w:top w:val="single" w:sz="12" w:space="0" w:color="auto"/>
            </w:tcBorders>
          </w:tcPr>
          <w:p w:rsidR="003754D2" w:rsidRPr="00671A57" w:rsidRDefault="00B40ED7" w:rsidP="00F4451D">
            <w:pPr>
              <w:spacing w:line="360" w:lineRule="auto"/>
              <w:rPr>
                <w:rFonts w:cs="Arial"/>
                <w:lang w:val="en-US"/>
              </w:rPr>
            </w:pPr>
            <w:proofErr w:type="spellStart"/>
            <w:r w:rsidRPr="00671A57">
              <w:rPr>
                <w:rFonts w:cs="Arial"/>
                <w:lang w:val="en-US"/>
              </w:rPr>
              <w:t>triethylamine</w:t>
            </w:r>
            <w:proofErr w:type="spellEnd"/>
          </w:p>
        </w:tc>
        <w:tc>
          <w:tcPr>
            <w:tcW w:w="1418" w:type="dxa"/>
            <w:tcBorders>
              <w:top w:val="single" w:sz="12" w:space="0" w:color="auto"/>
            </w:tcBorders>
          </w:tcPr>
          <w:p w:rsidR="003754D2" w:rsidRPr="00671A57" w:rsidRDefault="00B40ED7" w:rsidP="00F4451D">
            <w:pPr>
              <w:spacing w:line="360" w:lineRule="auto"/>
              <w:rPr>
                <w:rFonts w:cs="Arial"/>
                <w:lang w:val="en-US"/>
              </w:rPr>
            </w:pPr>
            <w:r w:rsidRPr="00671A57">
              <w:rPr>
                <w:rFonts w:cs="Arial"/>
                <w:lang w:val="en-US"/>
              </w:rPr>
              <w:t>121-44-8</w:t>
            </w:r>
          </w:p>
        </w:tc>
        <w:tc>
          <w:tcPr>
            <w:tcW w:w="2101" w:type="dxa"/>
            <w:tcBorders>
              <w:top w:val="single" w:sz="12" w:space="0" w:color="auto"/>
            </w:tcBorders>
          </w:tcPr>
          <w:p w:rsidR="003754D2" w:rsidRPr="00671A57" w:rsidRDefault="00B40ED7" w:rsidP="00F4451D">
            <w:pPr>
              <w:spacing w:line="360" w:lineRule="auto"/>
              <w:rPr>
                <w:rFonts w:cs="Arial"/>
                <w:lang w:val="en-US"/>
              </w:rPr>
            </w:pPr>
            <w:r w:rsidRPr="00671A57">
              <w:rPr>
                <w:rFonts w:cs="Arial"/>
                <w:lang w:val="pt-BR"/>
              </w:rPr>
              <w:t>GHS02, GHS05, GHS06</w:t>
            </w:r>
          </w:p>
        </w:tc>
        <w:tc>
          <w:tcPr>
            <w:tcW w:w="1442" w:type="dxa"/>
            <w:tcBorders>
              <w:top w:val="single" w:sz="12" w:space="0" w:color="auto"/>
            </w:tcBorders>
          </w:tcPr>
          <w:p w:rsidR="003754D2" w:rsidRPr="00671A57" w:rsidRDefault="00B40ED7" w:rsidP="00F4451D">
            <w:pPr>
              <w:spacing w:line="360" w:lineRule="auto"/>
              <w:rPr>
                <w:rFonts w:cs="Arial"/>
                <w:lang w:val="en-US"/>
              </w:rPr>
            </w:pPr>
            <w:r w:rsidRPr="00671A57">
              <w:rPr>
                <w:rFonts w:cs="Arial"/>
                <w:lang w:val="pt-BR"/>
              </w:rPr>
              <w:t>H225-H302-H311 + H331-H314-H335</w:t>
            </w:r>
          </w:p>
        </w:tc>
        <w:tc>
          <w:tcPr>
            <w:tcW w:w="2376" w:type="dxa"/>
            <w:tcBorders>
              <w:top w:val="single" w:sz="12" w:space="0" w:color="auto"/>
            </w:tcBorders>
          </w:tcPr>
          <w:p w:rsidR="003754D2" w:rsidRPr="00671A57" w:rsidRDefault="00B40ED7" w:rsidP="00F4451D">
            <w:pPr>
              <w:spacing w:line="360" w:lineRule="auto"/>
              <w:rPr>
                <w:rFonts w:cs="Arial"/>
                <w:lang w:val="en-US"/>
              </w:rPr>
            </w:pPr>
            <w:r w:rsidRPr="00671A57">
              <w:rPr>
                <w:rFonts w:cs="Arial"/>
                <w:lang w:val="pt-BR"/>
              </w:rPr>
              <w:t>P210-P261-P280-P303 + P361 + P353-P305 + P351 + P338-P370 + P378</w:t>
            </w:r>
          </w:p>
        </w:tc>
      </w:tr>
      <w:tr w:rsidR="00FE3554" w:rsidRPr="00B1390F" w:rsidTr="003754D2">
        <w:tc>
          <w:tcPr>
            <w:tcW w:w="1951" w:type="dxa"/>
          </w:tcPr>
          <w:p w:rsidR="00FE3554" w:rsidRPr="00671A57" w:rsidRDefault="00925332" w:rsidP="00F4451D">
            <w:pPr>
              <w:spacing w:line="360" w:lineRule="auto"/>
              <w:rPr>
                <w:rFonts w:cs="Arial"/>
                <w:lang w:val="en-US"/>
              </w:rPr>
            </w:pPr>
            <w:proofErr w:type="spellStart"/>
            <w:r w:rsidRPr="00671A57">
              <w:rPr>
                <w:rFonts w:cs="Arial"/>
                <w:lang w:val="en-US"/>
              </w:rPr>
              <w:t>methanesulfonic</w:t>
            </w:r>
            <w:proofErr w:type="spellEnd"/>
            <w:r w:rsidRPr="00671A57">
              <w:rPr>
                <w:rFonts w:cs="Arial"/>
                <w:lang w:val="en-US"/>
              </w:rPr>
              <w:t xml:space="preserve"> acid</w:t>
            </w:r>
          </w:p>
        </w:tc>
        <w:tc>
          <w:tcPr>
            <w:tcW w:w="1418" w:type="dxa"/>
          </w:tcPr>
          <w:p w:rsidR="00FE3554" w:rsidRPr="00671A57" w:rsidRDefault="00925332" w:rsidP="00F4451D">
            <w:pPr>
              <w:spacing w:line="360" w:lineRule="auto"/>
              <w:rPr>
                <w:rFonts w:cs="Arial"/>
                <w:lang w:val="en-US"/>
              </w:rPr>
            </w:pPr>
            <w:r w:rsidRPr="00671A57">
              <w:rPr>
                <w:rFonts w:cs="Arial"/>
                <w:lang w:val="en-US"/>
              </w:rPr>
              <w:t>75-75-2</w:t>
            </w:r>
          </w:p>
        </w:tc>
        <w:tc>
          <w:tcPr>
            <w:tcW w:w="2101" w:type="dxa"/>
          </w:tcPr>
          <w:p w:rsidR="00FE3554" w:rsidRPr="00671A57" w:rsidRDefault="00925332" w:rsidP="00F4451D">
            <w:pPr>
              <w:spacing w:line="360" w:lineRule="auto"/>
              <w:rPr>
                <w:rFonts w:cs="Arial"/>
                <w:lang w:val="en-US"/>
              </w:rPr>
            </w:pPr>
            <w:r w:rsidRPr="00671A57">
              <w:rPr>
                <w:rFonts w:cs="Arial"/>
                <w:lang w:val="en-US"/>
              </w:rPr>
              <w:t>GHS05, GHS07</w:t>
            </w:r>
          </w:p>
        </w:tc>
        <w:tc>
          <w:tcPr>
            <w:tcW w:w="1442" w:type="dxa"/>
          </w:tcPr>
          <w:p w:rsidR="00FE3554" w:rsidRPr="00671A57" w:rsidRDefault="00925332" w:rsidP="00F4451D">
            <w:pPr>
              <w:spacing w:line="360" w:lineRule="auto"/>
              <w:rPr>
                <w:rFonts w:cs="Arial"/>
                <w:lang w:val="en-US"/>
              </w:rPr>
            </w:pPr>
            <w:r w:rsidRPr="00671A57">
              <w:rPr>
                <w:rFonts w:cs="Arial"/>
                <w:lang w:val="en-US"/>
              </w:rPr>
              <w:t>H290-H302 + H312-H314-H335</w:t>
            </w:r>
          </w:p>
        </w:tc>
        <w:tc>
          <w:tcPr>
            <w:tcW w:w="2376" w:type="dxa"/>
          </w:tcPr>
          <w:p w:rsidR="00FE3554" w:rsidRPr="00671A57" w:rsidRDefault="00D94A4B" w:rsidP="00F4451D">
            <w:pPr>
              <w:spacing w:line="360" w:lineRule="auto"/>
              <w:rPr>
                <w:rFonts w:cs="Arial"/>
                <w:lang w:val="en-US"/>
              </w:rPr>
            </w:pPr>
            <w:r w:rsidRPr="00671A57">
              <w:rPr>
                <w:rFonts w:cs="Arial"/>
                <w:lang w:val="en-US"/>
              </w:rPr>
              <w:t>P301 + P312 + P330-P303 + P361 + P353-P304 + P340 + P310-P305 + P351 + P338</w:t>
            </w:r>
          </w:p>
        </w:tc>
      </w:tr>
      <w:tr w:rsidR="00D94A4B" w:rsidRPr="00671A57" w:rsidTr="003754D2">
        <w:tc>
          <w:tcPr>
            <w:tcW w:w="1951" w:type="dxa"/>
            <w:tcBorders>
              <w:bottom w:val="single" w:sz="4" w:space="0" w:color="auto"/>
            </w:tcBorders>
          </w:tcPr>
          <w:p w:rsidR="00D94A4B" w:rsidRPr="00671A57" w:rsidRDefault="00D94A4B" w:rsidP="00F4451D">
            <w:pPr>
              <w:spacing w:line="360" w:lineRule="auto"/>
              <w:rPr>
                <w:rFonts w:cs="Arial"/>
                <w:lang w:val="en-US"/>
              </w:rPr>
            </w:pPr>
            <w:r w:rsidRPr="00671A57">
              <w:rPr>
                <w:rFonts w:cs="Arial"/>
                <w:lang w:val="en-US"/>
              </w:rPr>
              <w:t>[Et</w:t>
            </w:r>
            <w:r w:rsidRPr="00671A57">
              <w:rPr>
                <w:rFonts w:cs="Arial"/>
                <w:vertAlign w:val="subscript"/>
                <w:lang w:val="en-US"/>
              </w:rPr>
              <w:t>3</w:t>
            </w:r>
            <w:r w:rsidRPr="00671A57">
              <w:rPr>
                <w:rFonts w:cs="Arial"/>
                <w:lang w:val="en-US"/>
              </w:rPr>
              <w:t>NH][SO</w:t>
            </w:r>
            <w:r w:rsidRPr="00671A57">
              <w:rPr>
                <w:rFonts w:cs="Arial"/>
                <w:vertAlign w:val="subscript"/>
                <w:lang w:val="en-US"/>
              </w:rPr>
              <w:t>3</w:t>
            </w:r>
            <w:r w:rsidRPr="00671A57">
              <w:rPr>
                <w:rFonts w:cs="Arial"/>
                <w:lang w:val="en-US"/>
              </w:rPr>
              <w:t>Me]</w:t>
            </w:r>
          </w:p>
        </w:tc>
        <w:tc>
          <w:tcPr>
            <w:tcW w:w="1418" w:type="dxa"/>
            <w:tcBorders>
              <w:bottom w:val="single" w:sz="4" w:space="0" w:color="auto"/>
            </w:tcBorders>
          </w:tcPr>
          <w:p w:rsidR="00D94A4B" w:rsidRPr="00671A57" w:rsidRDefault="00D94A4B" w:rsidP="00F4451D">
            <w:pPr>
              <w:spacing w:line="360" w:lineRule="auto"/>
              <w:rPr>
                <w:rFonts w:cs="Arial"/>
                <w:lang w:val="en-US"/>
              </w:rPr>
            </w:pPr>
            <w:r w:rsidRPr="00671A57">
              <w:rPr>
                <w:rFonts w:cs="Arial"/>
                <w:lang w:val="en-US"/>
              </w:rPr>
              <w:t>-</w:t>
            </w:r>
          </w:p>
        </w:tc>
        <w:tc>
          <w:tcPr>
            <w:tcW w:w="5919" w:type="dxa"/>
            <w:gridSpan w:val="3"/>
            <w:tcBorders>
              <w:bottom w:val="single" w:sz="4" w:space="0" w:color="auto"/>
            </w:tcBorders>
          </w:tcPr>
          <w:p w:rsidR="00D94A4B" w:rsidRPr="00671A57" w:rsidRDefault="00D94A4B" w:rsidP="00D94A4B">
            <w:pPr>
              <w:spacing w:line="360" w:lineRule="auto"/>
              <w:jc w:val="center"/>
              <w:rPr>
                <w:rFonts w:cs="Arial"/>
                <w:lang w:val="en-US"/>
              </w:rPr>
            </w:pPr>
            <w:r w:rsidRPr="00671A57">
              <w:rPr>
                <w:rFonts w:cs="Arial"/>
                <w:lang w:val="en-US"/>
              </w:rPr>
              <w:t>not yet classified</w:t>
            </w:r>
          </w:p>
        </w:tc>
      </w:tr>
    </w:tbl>
    <w:p w:rsidR="00FE3554" w:rsidRPr="00671A57" w:rsidRDefault="00671A57" w:rsidP="00671A57">
      <w:pPr>
        <w:pStyle w:val="Beschriftung"/>
        <w:rPr>
          <w:rFonts w:cs="Arial"/>
          <w:szCs w:val="22"/>
          <w:lang w:val="en-US"/>
        </w:rPr>
      </w:pPr>
      <w:bookmarkStart w:id="8" w:name="_Ref484768549"/>
      <w:r w:rsidRPr="00671A57">
        <w:rPr>
          <w:szCs w:val="22"/>
          <w:lang w:val="en-US"/>
        </w:rPr>
        <w:lastRenderedPageBreak/>
        <w:t xml:space="preserve">Table </w:t>
      </w:r>
      <w:r w:rsidRPr="00671A57">
        <w:rPr>
          <w:szCs w:val="22"/>
        </w:rPr>
        <w:fldChar w:fldCharType="begin"/>
      </w:r>
      <w:r w:rsidRPr="00671A57">
        <w:rPr>
          <w:szCs w:val="22"/>
          <w:lang w:val="en-US"/>
        </w:rPr>
        <w:instrText xml:space="preserve"> SEQ Table \* ARABIC </w:instrText>
      </w:r>
      <w:r w:rsidRPr="00671A57">
        <w:rPr>
          <w:szCs w:val="22"/>
        </w:rPr>
        <w:fldChar w:fldCharType="separate"/>
      </w:r>
      <w:r w:rsidR="00A758AE">
        <w:rPr>
          <w:noProof/>
          <w:szCs w:val="22"/>
          <w:lang w:val="en-US"/>
        </w:rPr>
        <w:t>4</w:t>
      </w:r>
      <w:r w:rsidRPr="00671A57">
        <w:rPr>
          <w:szCs w:val="22"/>
        </w:rPr>
        <w:fldChar w:fldCharType="end"/>
      </w:r>
      <w:bookmarkEnd w:id="8"/>
      <w:r w:rsidRPr="00671A57">
        <w:rPr>
          <w:szCs w:val="22"/>
          <w:lang w:val="en-US"/>
        </w:rPr>
        <w:t xml:space="preserve">. </w:t>
      </w:r>
      <w:r w:rsidR="00FE3554" w:rsidRPr="00671A57">
        <w:rPr>
          <w:rFonts w:cs="Arial"/>
          <w:b w:val="0"/>
          <w:szCs w:val="22"/>
          <w:lang w:val="en-US"/>
        </w:rPr>
        <w:t xml:space="preserve">Amount of </w:t>
      </w:r>
      <w:r w:rsidR="003F0053" w:rsidRPr="00671A57">
        <w:rPr>
          <w:rFonts w:cs="Arial"/>
          <w:b w:val="0"/>
          <w:szCs w:val="22"/>
          <w:lang w:val="en-US"/>
        </w:rPr>
        <w:t xml:space="preserve">substances </w:t>
      </w:r>
      <w:r w:rsidR="00FE3554" w:rsidRPr="00671A57">
        <w:rPr>
          <w:rFonts w:cs="Arial"/>
          <w:b w:val="0"/>
          <w:szCs w:val="22"/>
          <w:lang w:val="en-US"/>
        </w:rPr>
        <w:t xml:space="preserve">for the synthesis of </w:t>
      </w:r>
      <w:r w:rsidR="003F0053" w:rsidRPr="00671A57">
        <w:rPr>
          <w:rFonts w:cs="Arial"/>
          <w:b w:val="0"/>
          <w:szCs w:val="22"/>
          <w:lang w:val="en-US"/>
        </w:rPr>
        <w:t>[Et</w:t>
      </w:r>
      <w:r w:rsidR="003F0053" w:rsidRPr="00671A57">
        <w:rPr>
          <w:rFonts w:cs="Arial"/>
          <w:b w:val="0"/>
          <w:szCs w:val="22"/>
          <w:vertAlign w:val="subscript"/>
          <w:lang w:val="en-US"/>
        </w:rPr>
        <w:t>3</w:t>
      </w:r>
      <w:r w:rsidR="003F0053" w:rsidRPr="00671A57">
        <w:rPr>
          <w:rFonts w:cs="Arial"/>
          <w:b w:val="0"/>
          <w:szCs w:val="22"/>
          <w:lang w:val="en-US"/>
        </w:rPr>
        <w:t>NH</w:t>
      </w:r>
      <w:proofErr w:type="gramStart"/>
      <w:r w:rsidR="003F0053" w:rsidRPr="00671A57">
        <w:rPr>
          <w:rFonts w:cs="Arial"/>
          <w:b w:val="0"/>
          <w:szCs w:val="22"/>
          <w:lang w:val="en-US"/>
        </w:rPr>
        <w:t>][</w:t>
      </w:r>
      <w:proofErr w:type="gramEnd"/>
      <w:r w:rsidR="003F0053" w:rsidRPr="00671A57">
        <w:rPr>
          <w:rFonts w:cs="Arial"/>
          <w:b w:val="0"/>
          <w:szCs w:val="22"/>
          <w:lang w:val="en-US"/>
        </w:rPr>
        <w:t>SO</w:t>
      </w:r>
      <w:r w:rsidR="003F0053" w:rsidRPr="00671A57">
        <w:rPr>
          <w:rFonts w:cs="Arial"/>
          <w:b w:val="0"/>
          <w:szCs w:val="22"/>
          <w:vertAlign w:val="subscript"/>
          <w:lang w:val="en-US"/>
        </w:rPr>
        <w:t>3</w:t>
      </w:r>
      <w:r w:rsidR="003F0053" w:rsidRPr="00671A57">
        <w:rPr>
          <w:rFonts w:cs="Arial"/>
          <w:b w:val="0"/>
          <w:szCs w:val="22"/>
          <w:lang w:val="en-US"/>
        </w:rPr>
        <w:t xml:space="preserve">Me] </w:t>
      </w:r>
      <w:r w:rsidR="00FE3554" w:rsidRPr="00671A57">
        <w:rPr>
          <w:rFonts w:cs="Arial"/>
          <w:b w:val="0"/>
          <w:szCs w:val="22"/>
          <w:lang w:val="en-US"/>
        </w:rPr>
        <w:t>calculated for 100 g theoretical yield.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417"/>
        <w:gridCol w:w="1276"/>
        <w:gridCol w:w="1559"/>
        <w:gridCol w:w="851"/>
        <w:gridCol w:w="992"/>
        <w:gridCol w:w="992"/>
      </w:tblGrid>
      <w:tr w:rsidR="00FE3554" w:rsidRPr="00671A57" w:rsidTr="00F4451D">
        <w:tc>
          <w:tcPr>
            <w:tcW w:w="2093"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Substance name</w:t>
            </w:r>
          </w:p>
        </w:tc>
        <w:tc>
          <w:tcPr>
            <w:tcW w:w="1417"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Equivalents</w:t>
            </w:r>
          </w:p>
        </w:tc>
        <w:tc>
          <w:tcPr>
            <w:tcW w:w="1276"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Molar mass</w:t>
            </w:r>
          </w:p>
          <w:p w:rsidR="00FE3554" w:rsidRPr="00671A57" w:rsidRDefault="00FE3554" w:rsidP="00F4451D">
            <w:pPr>
              <w:spacing w:line="360" w:lineRule="auto"/>
              <w:rPr>
                <w:rFonts w:cs="Arial"/>
                <w:lang w:val="en-US"/>
              </w:rPr>
            </w:pPr>
            <w:r w:rsidRPr="00671A57">
              <w:rPr>
                <w:rFonts w:cs="Arial"/>
                <w:lang w:val="en-US"/>
              </w:rPr>
              <w:t>[g/</w:t>
            </w:r>
            <w:proofErr w:type="spellStart"/>
            <w:r w:rsidRPr="00671A57">
              <w:rPr>
                <w:rFonts w:cs="Arial"/>
                <w:lang w:val="en-US"/>
              </w:rPr>
              <w:t>mol</w:t>
            </w:r>
            <w:proofErr w:type="spellEnd"/>
            <w:r w:rsidRPr="00671A57">
              <w:rPr>
                <w:rFonts w:cs="Arial"/>
                <w:lang w:val="en-US"/>
              </w:rPr>
              <w:t>]</w:t>
            </w:r>
          </w:p>
        </w:tc>
        <w:tc>
          <w:tcPr>
            <w:tcW w:w="1559"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Amount of substance [</w:t>
            </w:r>
            <w:proofErr w:type="spellStart"/>
            <w:r w:rsidRPr="00671A57">
              <w:rPr>
                <w:rFonts w:cs="Arial"/>
                <w:lang w:val="en-US"/>
              </w:rPr>
              <w:t>mmol</w:t>
            </w:r>
            <w:proofErr w:type="spellEnd"/>
            <w:r w:rsidRPr="00671A57">
              <w:rPr>
                <w:rFonts w:cs="Arial"/>
                <w:lang w:val="en-US"/>
              </w:rPr>
              <w:t>]</w:t>
            </w:r>
          </w:p>
        </w:tc>
        <w:tc>
          <w:tcPr>
            <w:tcW w:w="851"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Mass</w:t>
            </w:r>
          </w:p>
          <w:p w:rsidR="00FE3554" w:rsidRPr="00671A57" w:rsidRDefault="00FE3554" w:rsidP="00F4451D">
            <w:pPr>
              <w:spacing w:line="360" w:lineRule="auto"/>
              <w:rPr>
                <w:rFonts w:cs="Arial"/>
                <w:lang w:val="en-US"/>
              </w:rPr>
            </w:pPr>
            <w:r w:rsidRPr="00671A57">
              <w:rPr>
                <w:rFonts w:cs="Arial"/>
                <w:lang w:val="en-US"/>
              </w:rPr>
              <w:t>[g]</w:t>
            </w:r>
          </w:p>
        </w:tc>
        <w:tc>
          <w:tcPr>
            <w:tcW w:w="992"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Density</w:t>
            </w:r>
          </w:p>
          <w:p w:rsidR="00FE3554" w:rsidRPr="00671A57" w:rsidRDefault="00FE3554" w:rsidP="00F4451D">
            <w:pPr>
              <w:spacing w:line="360" w:lineRule="auto"/>
              <w:rPr>
                <w:rFonts w:cs="Arial"/>
                <w:lang w:val="en-US"/>
              </w:rPr>
            </w:pPr>
            <w:r w:rsidRPr="00671A57">
              <w:rPr>
                <w:rFonts w:cs="Arial"/>
                <w:lang w:val="en-US"/>
              </w:rPr>
              <w:t xml:space="preserve">[g/mL] </w:t>
            </w:r>
          </w:p>
        </w:tc>
        <w:tc>
          <w:tcPr>
            <w:tcW w:w="992" w:type="dxa"/>
            <w:tcBorders>
              <w:top w:val="single" w:sz="4" w:space="0" w:color="auto"/>
              <w:bottom w:val="single" w:sz="12" w:space="0" w:color="auto"/>
            </w:tcBorders>
          </w:tcPr>
          <w:p w:rsidR="00FE3554" w:rsidRPr="00671A57" w:rsidRDefault="00FE3554" w:rsidP="00F4451D">
            <w:pPr>
              <w:spacing w:line="360" w:lineRule="auto"/>
              <w:rPr>
                <w:rFonts w:cs="Arial"/>
                <w:lang w:val="en-US"/>
              </w:rPr>
            </w:pPr>
            <w:r w:rsidRPr="00671A57">
              <w:rPr>
                <w:rFonts w:cs="Arial"/>
                <w:lang w:val="en-US"/>
              </w:rPr>
              <w:t xml:space="preserve">Volume </w:t>
            </w:r>
          </w:p>
          <w:p w:rsidR="00FE3554" w:rsidRPr="00671A57" w:rsidRDefault="00FE3554" w:rsidP="00F4451D">
            <w:pPr>
              <w:spacing w:line="360" w:lineRule="auto"/>
              <w:rPr>
                <w:rFonts w:cs="Arial"/>
                <w:lang w:val="en-US"/>
              </w:rPr>
            </w:pPr>
            <w:r w:rsidRPr="00671A57">
              <w:rPr>
                <w:rFonts w:cs="Arial"/>
                <w:lang w:val="en-US"/>
              </w:rPr>
              <w:t>[mL]</w:t>
            </w:r>
          </w:p>
        </w:tc>
      </w:tr>
      <w:tr w:rsidR="00FE3554" w:rsidRPr="00671A57" w:rsidTr="00F4451D">
        <w:tc>
          <w:tcPr>
            <w:tcW w:w="2093" w:type="dxa"/>
            <w:tcBorders>
              <w:top w:val="single" w:sz="12" w:space="0" w:color="auto"/>
            </w:tcBorders>
          </w:tcPr>
          <w:p w:rsidR="00FE3554" w:rsidRPr="00671A57" w:rsidRDefault="00D94A4B" w:rsidP="00F4451D">
            <w:pPr>
              <w:spacing w:line="360" w:lineRule="auto"/>
              <w:rPr>
                <w:rFonts w:cs="Arial"/>
                <w:lang w:val="en-US"/>
              </w:rPr>
            </w:pPr>
            <w:proofErr w:type="spellStart"/>
            <w:r w:rsidRPr="00671A57">
              <w:rPr>
                <w:rFonts w:cs="Arial"/>
                <w:lang w:val="en-US"/>
              </w:rPr>
              <w:t>triethylamine</w:t>
            </w:r>
            <w:proofErr w:type="spellEnd"/>
          </w:p>
        </w:tc>
        <w:tc>
          <w:tcPr>
            <w:tcW w:w="1417" w:type="dxa"/>
            <w:tcBorders>
              <w:top w:val="single" w:sz="12" w:space="0" w:color="auto"/>
            </w:tcBorders>
          </w:tcPr>
          <w:p w:rsidR="00FE3554" w:rsidRPr="00671A57" w:rsidRDefault="00D94A4B" w:rsidP="00F4451D">
            <w:pPr>
              <w:spacing w:line="360" w:lineRule="auto"/>
              <w:rPr>
                <w:rFonts w:cs="Arial"/>
                <w:lang w:val="en-US"/>
              </w:rPr>
            </w:pPr>
            <w:r w:rsidRPr="00671A57">
              <w:rPr>
                <w:rFonts w:cs="Arial"/>
                <w:lang w:val="en-US"/>
              </w:rPr>
              <w:t>1.15</w:t>
            </w:r>
          </w:p>
        </w:tc>
        <w:tc>
          <w:tcPr>
            <w:tcW w:w="1276" w:type="dxa"/>
            <w:tcBorders>
              <w:top w:val="single" w:sz="12" w:space="0" w:color="auto"/>
            </w:tcBorders>
          </w:tcPr>
          <w:p w:rsidR="00FE3554" w:rsidRPr="00671A57" w:rsidRDefault="00D94A4B" w:rsidP="00F4451D">
            <w:pPr>
              <w:spacing w:line="360" w:lineRule="auto"/>
              <w:rPr>
                <w:rFonts w:cs="Arial"/>
                <w:lang w:val="en-US"/>
              </w:rPr>
            </w:pPr>
            <w:r w:rsidRPr="00671A57">
              <w:rPr>
                <w:rFonts w:cs="Arial"/>
                <w:lang w:val="en-US"/>
              </w:rPr>
              <w:t>101.19</w:t>
            </w:r>
          </w:p>
        </w:tc>
        <w:tc>
          <w:tcPr>
            <w:tcW w:w="1559" w:type="dxa"/>
            <w:tcBorders>
              <w:top w:val="single" w:sz="12" w:space="0" w:color="auto"/>
            </w:tcBorders>
          </w:tcPr>
          <w:p w:rsidR="00FE3554" w:rsidRPr="00671A57" w:rsidRDefault="00FE3554" w:rsidP="00954BA9">
            <w:pPr>
              <w:spacing w:line="360" w:lineRule="auto"/>
              <w:rPr>
                <w:rFonts w:cs="Arial"/>
                <w:lang w:val="en-US"/>
              </w:rPr>
            </w:pPr>
            <w:r w:rsidRPr="00671A57">
              <w:rPr>
                <w:rFonts w:cs="Arial"/>
                <w:lang w:val="en-US"/>
              </w:rPr>
              <w:t>5</w:t>
            </w:r>
            <w:r w:rsidR="00954BA9" w:rsidRPr="00671A57">
              <w:rPr>
                <w:rFonts w:cs="Arial"/>
                <w:lang w:val="en-US"/>
              </w:rPr>
              <w:t>8</w:t>
            </w:r>
            <w:r w:rsidRPr="00671A57">
              <w:rPr>
                <w:rFonts w:cs="Arial"/>
                <w:lang w:val="en-US"/>
              </w:rPr>
              <w:t>.</w:t>
            </w:r>
            <w:r w:rsidR="00954BA9" w:rsidRPr="00671A57">
              <w:rPr>
                <w:rFonts w:cs="Arial"/>
                <w:lang w:val="en-US"/>
              </w:rPr>
              <w:t>3</w:t>
            </w:r>
          </w:p>
        </w:tc>
        <w:tc>
          <w:tcPr>
            <w:tcW w:w="851" w:type="dxa"/>
            <w:tcBorders>
              <w:top w:val="single" w:sz="12" w:space="0" w:color="auto"/>
            </w:tcBorders>
          </w:tcPr>
          <w:p w:rsidR="00FE3554" w:rsidRPr="00671A57" w:rsidRDefault="00954BA9" w:rsidP="00F4451D">
            <w:pPr>
              <w:spacing w:line="360" w:lineRule="auto"/>
              <w:rPr>
                <w:rFonts w:cs="Arial"/>
                <w:lang w:val="en-US"/>
              </w:rPr>
            </w:pPr>
            <w:r w:rsidRPr="00671A57">
              <w:rPr>
                <w:rFonts w:cs="Arial"/>
                <w:lang w:val="en-US"/>
              </w:rPr>
              <w:t>59.0</w:t>
            </w:r>
          </w:p>
        </w:tc>
        <w:tc>
          <w:tcPr>
            <w:tcW w:w="992" w:type="dxa"/>
            <w:tcBorders>
              <w:top w:val="single" w:sz="12" w:space="0" w:color="auto"/>
            </w:tcBorders>
          </w:tcPr>
          <w:p w:rsidR="00FE3554" w:rsidRPr="00671A57" w:rsidRDefault="00954BA9" w:rsidP="00F4451D">
            <w:pPr>
              <w:spacing w:line="360" w:lineRule="auto"/>
              <w:rPr>
                <w:rFonts w:cs="Arial"/>
                <w:lang w:val="en-US"/>
              </w:rPr>
            </w:pPr>
            <w:r w:rsidRPr="00671A57">
              <w:rPr>
                <w:rFonts w:cs="Arial"/>
                <w:lang w:val="en-US"/>
              </w:rPr>
              <w:t>0.73</w:t>
            </w:r>
          </w:p>
        </w:tc>
        <w:tc>
          <w:tcPr>
            <w:tcW w:w="992" w:type="dxa"/>
            <w:tcBorders>
              <w:top w:val="single" w:sz="12" w:space="0" w:color="auto"/>
            </w:tcBorders>
          </w:tcPr>
          <w:p w:rsidR="00FE3554" w:rsidRPr="00671A57" w:rsidRDefault="00954BA9" w:rsidP="00F4451D">
            <w:pPr>
              <w:spacing w:line="360" w:lineRule="auto"/>
              <w:rPr>
                <w:rFonts w:cs="Arial"/>
                <w:lang w:val="en-US"/>
              </w:rPr>
            </w:pPr>
            <w:r w:rsidRPr="00671A57">
              <w:rPr>
                <w:rFonts w:cs="Arial"/>
                <w:lang w:val="en-US"/>
              </w:rPr>
              <w:t>80.8</w:t>
            </w:r>
          </w:p>
        </w:tc>
      </w:tr>
      <w:tr w:rsidR="00FE3554" w:rsidRPr="00671A57" w:rsidTr="00F4451D">
        <w:tc>
          <w:tcPr>
            <w:tcW w:w="2093" w:type="dxa"/>
          </w:tcPr>
          <w:p w:rsidR="00FE3554" w:rsidRPr="00671A57" w:rsidRDefault="00D94A4B" w:rsidP="00F4451D">
            <w:pPr>
              <w:spacing w:line="360" w:lineRule="auto"/>
              <w:rPr>
                <w:rFonts w:cs="Arial"/>
                <w:lang w:val="en-US"/>
              </w:rPr>
            </w:pPr>
            <w:proofErr w:type="spellStart"/>
            <w:r w:rsidRPr="00671A57">
              <w:rPr>
                <w:rFonts w:cs="Arial"/>
                <w:lang w:val="en-US"/>
              </w:rPr>
              <w:t>methanesulfonic</w:t>
            </w:r>
            <w:proofErr w:type="spellEnd"/>
            <w:r w:rsidRPr="00671A57">
              <w:rPr>
                <w:rFonts w:cs="Arial"/>
                <w:lang w:val="en-US"/>
              </w:rPr>
              <w:t xml:space="preserve"> acid</w:t>
            </w:r>
          </w:p>
        </w:tc>
        <w:tc>
          <w:tcPr>
            <w:tcW w:w="1417" w:type="dxa"/>
          </w:tcPr>
          <w:p w:rsidR="00FE3554" w:rsidRPr="00671A57" w:rsidRDefault="00D94A4B" w:rsidP="00F4451D">
            <w:pPr>
              <w:spacing w:line="360" w:lineRule="auto"/>
              <w:rPr>
                <w:rFonts w:cs="Arial"/>
                <w:lang w:val="en-US"/>
              </w:rPr>
            </w:pPr>
            <w:r w:rsidRPr="00671A57">
              <w:rPr>
                <w:rFonts w:cs="Arial"/>
                <w:lang w:val="en-US"/>
              </w:rPr>
              <w:t>1.00</w:t>
            </w:r>
          </w:p>
        </w:tc>
        <w:tc>
          <w:tcPr>
            <w:tcW w:w="1276" w:type="dxa"/>
          </w:tcPr>
          <w:p w:rsidR="00FE3554" w:rsidRPr="00671A57" w:rsidRDefault="00FE3554" w:rsidP="00D94A4B">
            <w:pPr>
              <w:spacing w:line="360" w:lineRule="auto"/>
              <w:rPr>
                <w:rFonts w:cs="Arial"/>
                <w:lang w:val="en-US"/>
              </w:rPr>
            </w:pPr>
            <w:r w:rsidRPr="00671A57">
              <w:rPr>
                <w:rFonts w:cs="Arial"/>
                <w:lang w:val="en-US"/>
              </w:rPr>
              <w:t>9</w:t>
            </w:r>
            <w:r w:rsidR="00D94A4B" w:rsidRPr="00671A57">
              <w:rPr>
                <w:rFonts w:cs="Arial"/>
                <w:lang w:val="en-US"/>
              </w:rPr>
              <w:t>6.11</w:t>
            </w:r>
          </w:p>
        </w:tc>
        <w:tc>
          <w:tcPr>
            <w:tcW w:w="1559" w:type="dxa"/>
          </w:tcPr>
          <w:p w:rsidR="00FE3554" w:rsidRPr="00671A57" w:rsidRDefault="00954BA9" w:rsidP="00954BA9">
            <w:pPr>
              <w:spacing w:line="360" w:lineRule="auto"/>
              <w:rPr>
                <w:rFonts w:cs="Arial"/>
                <w:lang w:val="en-US"/>
              </w:rPr>
            </w:pPr>
            <w:r w:rsidRPr="00671A57">
              <w:rPr>
                <w:rFonts w:cs="Arial"/>
                <w:lang w:val="en-US"/>
              </w:rPr>
              <w:t>50</w:t>
            </w:r>
            <w:r w:rsidR="00FE3554" w:rsidRPr="00671A57">
              <w:rPr>
                <w:rFonts w:cs="Arial"/>
                <w:lang w:val="en-US"/>
              </w:rPr>
              <w:t>.7</w:t>
            </w:r>
          </w:p>
        </w:tc>
        <w:tc>
          <w:tcPr>
            <w:tcW w:w="851" w:type="dxa"/>
          </w:tcPr>
          <w:p w:rsidR="00FE3554" w:rsidRPr="00671A57" w:rsidRDefault="00954BA9" w:rsidP="00F4451D">
            <w:pPr>
              <w:spacing w:line="360" w:lineRule="auto"/>
              <w:rPr>
                <w:rFonts w:cs="Arial"/>
                <w:lang w:val="en-US"/>
              </w:rPr>
            </w:pPr>
            <w:r w:rsidRPr="00671A57">
              <w:rPr>
                <w:rFonts w:cs="Arial"/>
                <w:lang w:val="en-US"/>
              </w:rPr>
              <w:t>48.7</w:t>
            </w:r>
          </w:p>
        </w:tc>
        <w:tc>
          <w:tcPr>
            <w:tcW w:w="992" w:type="dxa"/>
          </w:tcPr>
          <w:p w:rsidR="00FE3554" w:rsidRPr="00671A57" w:rsidRDefault="00D94A4B" w:rsidP="00D94A4B">
            <w:pPr>
              <w:spacing w:line="360" w:lineRule="auto"/>
              <w:rPr>
                <w:rFonts w:cs="Arial"/>
                <w:lang w:val="en-US"/>
              </w:rPr>
            </w:pPr>
            <w:r w:rsidRPr="00671A57">
              <w:rPr>
                <w:rFonts w:cs="Arial"/>
                <w:lang w:val="en-US"/>
              </w:rPr>
              <w:t>1</w:t>
            </w:r>
            <w:r w:rsidR="00FE3554" w:rsidRPr="00671A57">
              <w:rPr>
                <w:rFonts w:cs="Arial"/>
                <w:lang w:val="en-US"/>
              </w:rPr>
              <w:t>.</w:t>
            </w:r>
            <w:r w:rsidRPr="00671A57">
              <w:rPr>
                <w:rFonts w:cs="Arial"/>
                <w:lang w:val="en-US"/>
              </w:rPr>
              <w:t>48</w:t>
            </w:r>
          </w:p>
        </w:tc>
        <w:tc>
          <w:tcPr>
            <w:tcW w:w="992" w:type="dxa"/>
          </w:tcPr>
          <w:p w:rsidR="00FE3554" w:rsidRPr="00671A57" w:rsidRDefault="00954BA9" w:rsidP="00954BA9">
            <w:pPr>
              <w:spacing w:line="360" w:lineRule="auto"/>
              <w:rPr>
                <w:rFonts w:cs="Arial"/>
                <w:lang w:val="en-US"/>
              </w:rPr>
            </w:pPr>
            <w:r w:rsidRPr="00671A57">
              <w:rPr>
                <w:rFonts w:cs="Arial"/>
                <w:lang w:val="en-US"/>
              </w:rPr>
              <w:t>32</w:t>
            </w:r>
            <w:r w:rsidR="00FE3554" w:rsidRPr="00671A57">
              <w:rPr>
                <w:rFonts w:cs="Arial"/>
                <w:lang w:val="en-US"/>
              </w:rPr>
              <w:t>.</w:t>
            </w:r>
            <w:r w:rsidRPr="00671A57">
              <w:rPr>
                <w:rFonts w:cs="Arial"/>
                <w:lang w:val="en-US"/>
              </w:rPr>
              <w:t>9</w:t>
            </w:r>
          </w:p>
        </w:tc>
      </w:tr>
      <w:tr w:rsidR="00FE3554" w:rsidRPr="00671A57" w:rsidTr="00F4451D">
        <w:tc>
          <w:tcPr>
            <w:tcW w:w="2093" w:type="dxa"/>
            <w:tcBorders>
              <w:bottom w:val="single" w:sz="4" w:space="0" w:color="auto"/>
            </w:tcBorders>
          </w:tcPr>
          <w:p w:rsidR="00FE3554" w:rsidRPr="00671A57" w:rsidRDefault="00925332" w:rsidP="00F4451D">
            <w:pPr>
              <w:spacing w:line="360" w:lineRule="auto"/>
              <w:rPr>
                <w:rFonts w:cs="Arial"/>
                <w:lang w:val="en-US"/>
              </w:rPr>
            </w:pPr>
            <w:r w:rsidRPr="00671A57">
              <w:rPr>
                <w:rFonts w:cs="Arial"/>
                <w:lang w:val="en-US"/>
              </w:rPr>
              <w:t>distilled water</w:t>
            </w:r>
          </w:p>
        </w:tc>
        <w:tc>
          <w:tcPr>
            <w:tcW w:w="1417" w:type="dxa"/>
            <w:tcBorders>
              <w:bottom w:val="single" w:sz="4" w:space="0" w:color="auto"/>
            </w:tcBorders>
          </w:tcPr>
          <w:p w:rsidR="00FE3554" w:rsidRPr="00671A57" w:rsidRDefault="00FE3554" w:rsidP="00F4451D">
            <w:pPr>
              <w:spacing w:line="360" w:lineRule="auto"/>
              <w:rPr>
                <w:rFonts w:cs="Arial"/>
                <w:lang w:val="en-US"/>
              </w:rPr>
            </w:pPr>
            <w:r w:rsidRPr="00671A57">
              <w:rPr>
                <w:rFonts w:cs="Arial"/>
                <w:lang w:val="en-US"/>
              </w:rPr>
              <w:t>-</w:t>
            </w:r>
          </w:p>
        </w:tc>
        <w:tc>
          <w:tcPr>
            <w:tcW w:w="1276" w:type="dxa"/>
            <w:tcBorders>
              <w:bottom w:val="single" w:sz="4" w:space="0" w:color="auto"/>
            </w:tcBorders>
          </w:tcPr>
          <w:p w:rsidR="00FE3554" w:rsidRPr="00671A57" w:rsidRDefault="00D94A4B" w:rsidP="00D94A4B">
            <w:pPr>
              <w:spacing w:line="360" w:lineRule="auto"/>
              <w:rPr>
                <w:rFonts w:cs="Arial"/>
                <w:lang w:val="en-US"/>
              </w:rPr>
            </w:pPr>
            <w:r w:rsidRPr="00671A57">
              <w:rPr>
                <w:rFonts w:cs="Arial"/>
                <w:lang w:val="en-US"/>
              </w:rPr>
              <w:t>18</w:t>
            </w:r>
            <w:r w:rsidR="00FE3554" w:rsidRPr="00671A57">
              <w:rPr>
                <w:rFonts w:cs="Arial"/>
                <w:lang w:val="en-US"/>
              </w:rPr>
              <w:t>.</w:t>
            </w:r>
            <w:r w:rsidRPr="00671A57">
              <w:rPr>
                <w:rFonts w:cs="Arial"/>
                <w:lang w:val="en-US"/>
              </w:rPr>
              <w:t>02</w:t>
            </w:r>
          </w:p>
        </w:tc>
        <w:tc>
          <w:tcPr>
            <w:tcW w:w="1559" w:type="dxa"/>
            <w:tcBorders>
              <w:bottom w:val="single" w:sz="4" w:space="0" w:color="auto"/>
            </w:tcBorders>
          </w:tcPr>
          <w:p w:rsidR="00FE3554" w:rsidRPr="00671A57" w:rsidRDefault="00FE3554" w:rsidP="00F4451D">
            <w:pPr>
              <w:spacing w:line="360" w:lineRule="auto"/>
              <w:rPr>
                <w:rFonts w:cs="Arial"/>
                <w:lang w:val="en-US"/>
              </w:rPr>
            </w:pPr>
            <w:r w:rsidRPr="00671A57">
              <w:rPr>
                <w:rFonts w:cs="Arial"/>
                <w:lang w:val="en-US"/>
              </w:rPr>
              <w:t>-</w:t>
            </w:r>
          </w:p>
        </w:tc>
        <w:tc>
          <w:tcPr>
            <w:tcW w:w="851" w:type="dxa"/>
            <w:tcBorders>
              <w:bottom w:val="single" w:sz="4" w:space="0" w:color="auto"/>
            </w:tcBorders>
          </w:tcPr>
          <w:p w:rsidR="00FE3554" w:rsidRPr="00671A57" w:rsidRDefault="00FE3554" w:rsidP="00F4451D">
            <w:pPr>
              <w:spacing w:line="360" w:lineRule="auto"/>
              <w:rPr>
                <w:rFonts w:cs="Arial"/>
                <w:lang w:val="en-US"/>
              </w:rPr>
            </w:pPr>
            <w:r w:rsidRPr="00671A57">
              <w:rPr>
                <w:rFonts w:cs="Arial"/>
                <w:lang w:val="en-US"/>
              </w:rPr>
              <w:t>-</w:t>
            </w:r>
          </w:p>
        </w:tc>
        <w:tc>
          <w:tcPr>
            <w:tcW w:w="992" w:type="dxa"/>
            <w:tcBorders>
              <w:bottom w:val="single" w:sz="4" w:space="0" w:color="auto"/>
            </w:tcBorders>
          </w:tcPr>
          <w:p w:rsidR="00FE3554" w:rsidRPr="00671A57" w:rsidRDefault="00FE3554" w:rsidP="00F4451D">
            <w:pPr>
              <w:spacing w:line="360" w:lineRule="auto"/>
              <w:rPr>
                <w:rFonts w:cs="Arial"/>
                <w:lang w:val="en-US"/>
              </w:rPr>
            </w:pPr>
            <w:r w:rsidRPr="00671A57">
              <w:rPr>
                <w:rFonts w:cs="Arial"/>
                <w:lang w:val="en-US"/>
              </w:rPr>
              <w:t>-</w:t>
            </w:r>
          </w:p>
        </w:tc>
        <w:tc>
          <w:tcPr>
            <w:tcW w:w="992" w:type="dxa"/>
            <w:tcBorders>
              <w:bottom w:val="single" w:sz="4" w:space="0" w:color="auto"/>
            </w:tcBorders>
          </w:tcPr>
          <w:p w:rsidR="00FE3554" w:rsidRPr="00671A57" w:rsidRDefault="00B40ED7" w:rsidP="00F4451D">
            <w:pPr>
              <w:spacing w:line="360" w:lineRule="auto"/>
              <w:rPr>
                <w:rFonts w:cs="Arial"/>
                <w:lang w:val="en-US"/>
              </w:rPr>
            </w:pPr>
            <w:r w:rsidRPr="00671A57">
              <w:rPr>
                <w:rFonts w:cs="Arial"/>
                <w:lang w:val="en-US"/>
              </w:rPr>
              <w:t>2</w:t>
            </w:r>
            <w:r w:rsidR="00FE3554" w:rsidRPr="00671A57">
              <w:rPr>
                <w:rFonts w:cs="Arial"/>
                <w:lang w:val="en-US"/>
              </w:rPr>
              <w:t>00</w:t>
            </w:r>
          </w:p>
        </w:tc>
      </w:tr>
    </w:tbl>
    <w:p w:rsidR="00A81E3C" w:rsidRPr="00671A57" w:rsidRDefault="00A81E3C" w:rsidP="00565977">
      <w:pPr>
        <w:jc w:val="both"/>
        <w:rPr>
          <w:rFonts w:cs="Arial"/>
          <w:lang w:val="en-US"/>
        </w:rPr>
      </w:pPr>
    </w:p>
    <w:p w:rsidR="006C0262" w:rsidRPr="00671A57" w:rsidRDefault="006C0262" w:rsidP="006C0262">
      <w:pPr>
        <w:jc w:val="center"/>
        <w:rPr>
          <w:rFonts w:cs="Arial"/>
          <w:lang w:val="en-US"/>
        </w:rPr>
      </w:pPr>
      <w:r w:rsidRPr="00671A57">
        <w:rPr>
          <w:rFonts w:cs="Arial"/>
          <w:noProof/>
          <w:lang w:eastAsia="de-DE"/>
        </w:rPr>
        <w:drawing>
          <wp:inline distT="0" distB="0" distL="0" distR="0" wp14:anchorId="54EF4393" wp14:editId="7A0050BD">
            <wp:extent cx="2744050" cy="298132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bau Experimen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5607" cy="2983017"/>
                    </a:xfrm>
                    <a:prstGeom prst="rect">
                      <a:avLst/>
                    </a:prstGeom>
                  </pic:spPr>
                </pic:pic>
              </a:graphicData>
            </a:graphic>
          </wp:inline>
        </w:drawing>
      </w:r>
    </w:p>
    <w:p w:rsidR="00A81E3C" w:rsidRPr="004A6273" w:rsidRDefault="00671A57" w:rsidP="004A6273">
      <w:pPr>
        <w:pStyle w:val="Beschriftung"/>
        <w:spacing w:after="480"/>
        <w:rPr>
          <w:rFonts w:cs="Arial"/>
          <w:b w:val="0"/>
          <w:szCs w:val="22"/>
          <w:lang w:val="en-US"/>
        </w:rPr>
      </w:pPr>
      <w:r w:rsidRPr="00671A57">
        <w:rPr>
          <w:szCs w:val="22"/>
          <w:lang w:val="en-US"/>
        </w:rPr>
        <w:t xml:space="preserve">Figure </w:t>
      </w:r>
      <w:r w:rsidRPr="00671A57">
        <w:rPr>
          <w:szCs w:val="22"/>
        </w:rPr>
        <w:fldChar w:fldCharType="begin"/>
      </w:r>
      <w:r w:rsidRPr="00671A57">
        <w:rPr>
          <w:szCs w:val="22"/>
          <w:lang w:val="en-US"/>
        </w:rPr>
        <w:instrText xml:space="preserve"> SEQ Figure \* ARABIC </w:instrText>
      </w:r>
      <w:r w:rsidRPr="00671A57">
        <w:rPr>
          <w:szCs w:val="22"/>
        </w:rPr>
        <w:fldChar w:fldCharType="separate"/>
      </w:r>
      <w:r w:rsidR="00880438">
        <w:rPr>
          <w:noProof/>
          <w:szCs w:val="22"/>
          <w:lang w:val="en-US"/>
        </w:rPr>
        <w:t>2</w:t>
      </w:r>
      <w:r w:rsidRPr="00671A57">
        <w:rPr>
          <w:szCs w:val="22"/>
        </w:rPr>
        <w:fldChar w:fldCharType="end"/>
      </w:r>
      <w:r w:rsidRPr="00671A57">
        <w:rPr>
          <w:szCs w:val="22"/>
          <w:lang w:val="en-US"/>
        </w:rPr>
        <w:t>.</w:t>
      </w:r>
      <w:r w:rsidR="006C0262" w:rsidRPr="00671A57">
        <w:rPr>
          <w:rFonts w:cs="Arial"/>
          <w:b w:val="0"/>
          <w:szCs w:val="22"/>
          <w:lang w:val="en-US"/>
        </w:rPr>
        <w:t xml:space="preserve"> Experimental set up for the synthesis of </w:t>
      </w:r>
      <w:r w:rsidR="00834AF8" w:rsidRPr="00671A57">
        <w:rPr>
          <w:rFonts w:cs="Arial"/>
          <w:b w:val="0"/>
          <w:szCs w:val="22"/>
          <w:lang w:val="en-US"/>
        </w:rPr>
        <w:t>[Et</w:t>
      </w:r>
      <w:r w:rsidR="00834AF8" w:rsidRPr="00671A57">
        <w:rPr>
          <w:rFonts w:cs="Arial"/>
          <w:b w:val="0"/>
          <w:szCs w:val="22"/>
          <w:vertAlign w:val="subscript"/>
          <w:lang w:val="en-US"/>
        </w:rPr>
        <w:t>3</w:t>
      </w:r>
      <w:r w:rsidR="00834AF8" w:rsidRPr="00671A57">
        <w:rPr>
          <w:rFonts w:cs="Arial"/>
          <w:b w:val="0"/>
          <w:szCs w:val="22"/>
          <w:lang w:val="en-US"/>
        </w:rPr>
        <w:t>NH</w:t>
      </w:r>
      <w:proofErr w:type="gramStart"/>
      <w:r w:rsidR="00834AF8" w:rsidRPr="00671A57">
        <w:rPr>
          <w:rFonts w:cs="Arial"/>
          <w:b w:val="0"/>
          <w:szCs w:val="22"/>
          <w:lang w:val="en-US"/>
        </w:rPr>
        <w:t>][</w:t>
      </w:r>
      <w:proofErr w:type="gramEnd"/>
      <w:r w:rsidR="00834AF8" w:rsidRPr="00671A57">
        <w:rPr>
          <w:rFonts w:cs="Arial"/>
          <w:b w:val="0"/>
          <w:szCs w:val="22"/>
          <w:lang w:val="en-US"/>
        </w:rPr>
        <w:t>SO</w:t>
      </w:r>
      <w:r w:rsidR="00834AF8" w:rsidRPr="00671A57">
        <w:rPr>
          <w:rFonts w:cs="Arial"/>
          <w:b w:val="0"/>
          <w:szCs w:val="22"/>
          <w:vertAlign w:val="subscript"/>
          <w:lang w:val="en-US"/>
        </w:rPr>
        <w:t>3</w:t>
      </w:r>
      <w:r w:rsidR="00834AF8" w:rsidRPr="00671A57">
        <w:rPr>
          <w:rFonts w:cs="Arial"/>
          <w:b w:val="0"/>
          <w:szCs w:val="22"/>
          <w:lang w:val="en-US"/>
        </w:rPr>
        <w:t>Me].</w:t>
      </w:r>
    </w:p>
    <w:p w:rsidR="00A81E3C" w:rsidRPr="00671A57" w:rsidRDefault="00893B6B" w:rsidP="00565977">
      <w:pPr>
        <w:jc w:val="both"/>
        <w:rPr>
          <w:rFonts w:cs="Arial"/>
          <w:lang w:val="en-US"/>
        </w:rPr>
      </w:pPr>
      <w:r w:rsidRPr="00671A57">
        <w:rPr>
          <w:rFonts w:cs="Arial"/>
          <w:i/>
          <w:lang w:val="en-US"/>
        </w:rPr>
        <w:t>Experimental</w:t>
      </w:r>
      <w:r w:rsidRPr="00671A57">
        <w:rPr>
          <w:rFonts w:cs="Arial"/>
          <w:lang w:val="en-US"/>
        </w:rPr>
        <w:t xml:space="preserve">: The reaction set-up is built as shown in figure 2 by connecting the two-neck round bottom flask with inner thermometer and dropping funnel. 200 mL of distilled water are placed in the flask, cooled under stirring to 0°C and the </w:t>
      </w:r>
      <w:proofErr w:type="spellStart"/>
      <w:r w:rsidRPr="00671A57">
        <w:rPr>
          <w:rFonts w:cs="Arial"/>
          <w:lang w:val="en-US"/>
        </w:rPr>
        <w:t>methanesulfonic</w:t>
      </w:r>
      <w:proofErr w:type="spellEnd"/>
      <w:r w:rsidRPr="00671A57">
        <w:rPr>
          <w:rFonts w:cs="Arial"/>
          <w:lang w:val="en-US"/>
        </w:rPr>
        <w:t xml:space="preserve"> acid added dropwise while remaining at constant temperature. After completion of </w:t>
      </w:r>
      <w:r w:rsidRPr="004404FB">
        <w:rPr>
          <w:rFonts w:cs="Arial"/>
          <w:lang w:val="en-US"/>
        </w:rPr>
        <w:t>the addition</w:t>
      </w:r>
      <w:r w:rsidR="00242613" w:rsidRPr="004404FB">
        <w:rPr>
          <w:rFonts w:cs="Arial"/>
          <w:lang w:val="en-US"/>
        </w:rPr>
        <w:t>,</w:t>
      </w:r>
      <w:r w:rsidRPr="004404FB">
        <w:rPr>
          <w:rFonts w:cs="Arial"/>
          <w:lang w:val="en-US"/>
        </w:rPr>
        <w:t xml:space="preserve"> </w:t>
      </w:r>
      <w:r w:rsidR="004404FB" w:rsidRPr="004404FB">
        <w:rPr>
          <w:rFonts w:cs="Arial"/>
          <w:lang w:val="en-US"/>
        </w:rPr>
        <w:t xml:space="preserve">the </w:t>
      </w:r>
      <w:r w:rsidRPr="004404FB">
        <w:rPr>
          <w:rFonts w:cs="Arial"/>
          <w:lang w:val="en-US"/>
        </w:rPr>
        <w:t xml:space="preserve">measured volume of </w:t>
      </w:r>
      <w:proofErr w:type="spellStart"/>
      <w:r w:rsidRPr="004404FB">
        <w:rPr>
          <w:rFonts w:cs="Arial"/>
          <w:lang w:val="en-US"/>
        </w:rPr>
        <w:t>triethylamine</w:t>
      </w:r>
      <w:proofErr w:type="spellEnd"/>
      <w:r w:rsidRPr="00671A57">
        <w:rPr>
          <w:rFonts w:cs="Arial"/>
          <w:lang w:val="en-US"/>
        </w:rPr>
        <w:t xml:space="preserve"> is placed in the </w:t>
      </w:r>
      <w:r w:rsidR="001B6306" w:rsidRPr="00671A57">
        <w:rPr>
          <w:rFonts w:cs="Arial"/>
          <w:lang w:val="en-US"/>
        </w:rPr>
        <w:t>dropping</w:t>
      </w:r>
      <w:r w:rsidRPr="00671A57">
        <w:rPr>
          <w:rFonts w:cs="Arial"/>
          <w:lang w:val="en-US"/>
        </w:rPr>
        <w:t xml:space="preserve"> funnel and carefully added while keeping the inner temperature below 20°C. The obtained clear, colorless solution is stirred for ten minutes and the excess of </w:t>
      </w:r>
      <w:proofErr w:type="spellStart"/>
      <w:r w:rsidRPr="00671A57">
        <w:rPr>
          <w:rFonts w:cs="Arial"/>
          <w:lang w:val="en-US"/>
        </w:rPr>
        <w:t>triethylamine</w:t>
      </w:r>
      <w:proofErr w:type="spellEnd"/>
      <w:r w:rsidRPr="00671A57">
        <w:rPr>
          <w:rFonts w:cs="Arial"/>
          <w:lang w:val="en-US"/>
        </w:rPr>
        <w:t xml:space="preserve"> and major amount of water removed by rotary evaporation or vacuum distillation. The obtained IL is finally dried in oil pump vacuum using a cooling trap at 80°C for one day. After drying the product can be weighted to determine the yield </w:t>
      </w:r>
      <w:r w:rsidR="00242613">
        <w:rPr>
          <w:rFonts w:cs="Arial"/>
          <w:lang w:val="en-US"/>
        </w:rPr>
        <w:t>according to</w:t>
      </w:r>
      <w:r w:rsidR="00242613" w:rsidRPr="00671A57">
        <w:rPr>
          <w:rFonts w:cs="Arial"/>
          <w:lang w:val="en-US"/>
        </w:rPr>
        <w:t xml:space="preserve"> </w:t>
      </w:r>
      <w:r w:rsidRPr="00671A57">
        <w:rPr>
          <w:rFonts w:cs="Arial"/>
          <w:lang w:val="en-US"/>
        </w:rPr>
        <w:t xml:space="preserve">equation 2. The final IL is either observed as a colorless, transparent solid or as a colorless, transparent </w:t>
      </w:r>
      <w:proofErr w:type="spellStart"/>
      <w:r w:rsidRPr="00671A57">
        <w:rPr>
          <w:rFonts w:cs="Arial"/>
          <w:lang w:val="en-US"/>
        </w:rPr>
        <w:t>supercooled</w:t>
      </w:r>
      <w:proofErr w:type="spellEnd"/>
      <w:r w:rsidRPr="00671A57">
        <w:rPr>
          <w:rFonts w:cs="Arial"/>
          <w:lang w:val="en-US"/>
        </w:rPr>
        <w:t xml:space="preserve"> liquid that can undergo spontaneous crystallization. The occurrence of </w:t>
      </w:r>
      <w:proofErr w:type="spellStart"/>
      <w:r w:rsidRPr="00671A57">
        <w:rPr>
          <w:rFonts w:cs="Arial"/>
          <w:lang w:val="en-US"/>
        </w:rPr>
        <w:t>supercooling</w:t>
      </w:r>
      <w:proofErr w:type="spellEnd"/>
      <w:r w:rsidRPr="00671A57">
        <w:rPr>
          <w:rFonts w:cs="Arial"/>
          <w:lang w:val="en-US"/>
        </w:rPr>
        <w:t xml:space="preserve"> is a very common phenomenon found in the field of ILs and is a result of the molecular design to destabilize the crystal structure to obtain salts with low melting points. The purity of the final IL is again best checked by proton-NMR. </w:t>
      </w:r>
      <w:r w:rsidRPr="00671A57">
        <w:rPr>
          <w:rFonts w:cs="Arial"/>
          <w:vertAlign w:val="superscript"/>
          <w:lang w:val="en-US"/>
        </w:rPr>
        <w:t>1</w:t>
      </w:r>
      <w:r w:rsidRPr="00671A57">
        <w:rPr>
          <w:rFonts w:cs="Arial"/>
          <w:lang w:val="en-US"/>
        </w:rPr>
        <w:t xml:space="preserve">H-NMR and </w:t>
      </w:r>
      <w:proofErr w:type="gramStart"/>
      <w:r w:rsidRPr="00671A57">
        <w:rPr>
          <w:rFonts w:cs="Arial"/>
          <w:vertAlign w:val="superscript"/>
          <w:lang w:val="en-US"/>
        </w:rPr>
        <w:t>13</w:t>
      </w:r>
      <w:r w:rsidRPr="00671A57">
        <w:rPr>
          <w:rFonts w:cs="Arial"/>
          <w:lang w:val="en-US"/>
        </w:rPr>
        <w:t>C{</w:t>
      </w:r>
      <w:proofErr w:type="gramEnd"/>
      <w:r w:rsidRPr="00671A57">
        <w:rPr>
          <w:rFonts w:cs="Arial"/>
          <w:vertAlign w:val="superscript"/>
          <w:lang w:val="en-US"/>
        </w:rPr>
        <w:t>1</w:t>
      </w:r>
      <w:r w:rsidRPr="00671A57">
        <w:rPr>
          <w:rFonts w:cs="Arial"/>
          <w:lang w:val="en-US"/>
        </w:rPr>
        <w:t>H}</w:t>
      </w:r>
      <w:r w:rsidR="001B6306">
        <w:rPr>
          <w:rFonts w:cs="Arial"/>
          <w:lang w:val="en-US"/>
        </w:rPr>
        <w:noBreakHyphen/>
      </w:r>
      <w:r w:rsidRPr="00671A57">
        <w:rPr>
          <w:rFonts w:cs="Arial"/>
          <w:lang w:val="en-US"/>
        </w:rPr>
        <w:t>NMR spectra for [Et</w:t>
      </w:r>
      <w:r w:rsidRPr="00671A57">
        <w:rPr>
          <w:rFonts w:cs="Arial"/>
          <w:vertAlign w:val="subscript"/>
          <w:lang w:val="en-US"/>
        </w:rPr>
        <w:t>3</w:t>
      </w:r>
      <w:r w:rsidRPr="00671A57">
        <w:rPr>
          <w:rFonts w:cs="Arial"/>
          <w:lang w:val="en-US"/>
        </w:rPr>
        <w:t>NH][SO</w:t>
      </w:r>
      <w:r w:rsidRPr="00671A57">
        <w:rPr>
          <w:rFonts w:cs="Arial"/>
          <w:vertAlign w:val="subscript"/>
          <w:lang w:val="en-US"/>
        </w:rPr>
        <w:t>3</w:t>
      </w:r>
      <w:r w:rsidRPr="00671A57">
        <w:rPr>
          <w:rFonts w:cs="Arial"/>
          <w:lang w:val="en-US"/>
        </w:rPr>
        <w:t xml:space="preserve">Me] are shown </w:t>
      </w:r>
      <w:r w:rsidR="002B39BC">
        <w:rPr>
          <w:rFonts w:cs="Arial"/>
          <w:lang w:val="en-US"/>
        </w:rPr>
        <w:t xml:space="preserve">in </w:t>
      </w:r>
      <w:r w:rsidR="002B39BC">
        <w:rPr>
          <w:rFonts w:cs="Arial"/>
          <w:lang w:val="en-US"/>
        </w:rPr>
        <w:fldChar w:fldCharType="begin"/>
      </w:r>
      <w:r w:rsidR="002B39BC">
        <w:rPr>
          <w:rFonts w:cs="Arial"/>
          <w:lang w:val="en-US"/>
        </w:rPr>
        <w:instrText xml:space="preserve"> REF _Ref484768594 \h </w:instrText>
      </w:r>
      <w:r w:rsidR="002B39BC">
        <w:rPr>
          <w:rFonts w:cs="Arial"/>
          <w:lang w:val="en-US"/>
        </w:rPr>
      </w:r>
      <w:r w:rsidR="002B39BC">
        <w:rPr>
          <w:rFonts w:cs="Arial"/>
          <w:lang w:val="en-US"/>
        </w:rPr>
        <w:fldChar w:fldCharType="separate"/>
      </w:r>
      <w:r w:rsidR="002B39BC" w:rsidRPr="00880438">
        <w:rPr>
          <w:lang w:val="en-US"/>
        </w:rPr>
        <w:t xml:space="preserve">Figure </w:t>
      </w:r>
      <w:r w:rsidR="002B39BC">
        <w:rPr>
          <w:noProof/>
          <w:lang w:val="en-US"/>
        </w:rPr>
        <w:t>6</w:t>
      </w:r>
      <w:r w:rsidR="002B39BC">
        <w:rPr>
          <w:rFonts w:cs="Arial"/>
          <w:lang w:val="en-US"/>
        </w:rPr>
        <w:fldChar w:fldCharType="end"/>
      </w:r>
      <w:r w:rsidR="002B39BC">
        <w:rPr>
          <w:rFonts w:cs="Arial"/>
          <w:lang w:val="en-US"/>
        </w:rPr>
        <w:t xml:space="preserve"> and </w:t>
      </w:r>
      <w:r w:rsidR="002B39BC">
        <w:rPr>
          <w:rFonts w:cs="Arial"/>
          <w:lang w:val="en-US"/>
        </w:rPr>
        <w:fldChar w:fldCharType="begin"/>
      </w:r>
      <w:r w:rsidR="002B39BC">
        <w:rPr>
          <w:rFonts w:cs="Arial"/>
          <w:lang w:val="en-US"/>
        </w:rPr>
        <w:instrText xml:space="preserve"> REF _Ref484768597 \h </w:instrText>
      </w:r>
      <w:r w:rsidR="002B39BC">
        <w:rPr>
          <w:rFonts w:cs="Arial"/>
          <w:lang w:val="en-US"/>
        </w:rPr>
      </w:r>
      <w:r w:rsidR="002B39BC">
        <w:rPr>
          <w:rFonts w:cs="Arial"/>
          <w:lang w:val="en-US"/>
        </w:rPr>
        <w:fldChar w:fldCharType="separate"/>
      </w:r>
      <w:r w:rsidR="002B39BC" w:rsidRPr="00880438">
        <w:rPr>
          <w:lang w:val="en-US"/>
        </w:rPr>
        <w:t xml:space="preserve">Figure </w:t>
      </w:r>
      <w:r w:rsidR="002B39BC" w:rsidRPr="00880438">
        <w:rPr>
          <w:noProof/>
          <w:lang w:val="en-US"/>
        </w:rPr>
        <w:t>7</w:t>
      </w:r>
      <w:r w:rsidR="002B39BC">
        <w:rPr>
          <w:rFonts w:cs="Arial"/>
          <w:lang w:val="en-US"/>
        </w:rPr>
        <w:fldChar w:fldCharType="end"/>
      </w:r>
      <w:r w:rsidR="002B39BC">
        <w:rPr>
          <w:rFonts w:cs="Arial"/>
          <w:lang w:val="en-US"/>
        </w:rPr>
        <w:t xml:space="preserve">. </w:t>
      </w:r>
    </w:p>
    <w:p w:rsidR="00A81E3C" w:rsidRPr="00671A57" w:rsidRDefault="00A81E3C" w:rsidP="00565977">
      <w:pPr>
        <w:jc w:val="both"/>
        <w:rPr>
          <w:rFonts w:cs="Arial"/>
          <w:lang w:val="en-US"/>
        </w:rPr>
      </w:pPr>
      <w:r w:rsidRPr="00671A57">
        <w:rPr>
          <w:rFonts w:cs="Arial"/>
          <w:b/>
          <w:vertAlign w:val="superscript"/>
          <w:lang w:val="en-US"/>
        </w:rPr>
        <w:lastRenderedPageBreak/>
        <w:t>1</w:t>
      </w:r>
      <w:r w:rsidRPr="00671A57">
        <w:rPr>
          <w:rFonts w:cs="Arial"/>
          <w:b/>
          <w:lang w:val="en-US"/>
        </w:rPr>
        <w:t>H-NMR</w:t>
      </w:r>
      <w:r w:rsidRPr="00671A57">
        <w:rPr>
          <w:rFonts w:cs="Arial"/>
          <w:lang w:val="en-US"/>
        </w:rPr>
        <w:t xml:space="preserve"> (400 MHz, DMSO-d</w:t>
      </w:r>
      <w:r w:rsidRPr="00671A57">
        <w:rPr>
          <w:rFonts w:cs="Arial"/>
          <w:vertAlign w:val="subscript"/>
          <w:lang w:val="en-US"/>
        </w:rPr>
        <w:t>6</w:t>
      </w:r>
      <w:r w:rsidRPr="00671A57">
        <w:rPr>
          <w:rFonts w:cs="Arial"/>
          <w:lang w:val="en-US"/>
        </w:rPr>
        <w:t xml:space="preserve">) </w:t>
      </w:r>
      <w:proofErr w:type="gramStart"/>
      <w:r w:rsidRPr="00671A57">
        <w:rPr>
          <w:rFonts w:cs="Arial"/>
          <w:lang w:val="en-US"/>
        </w:rPr>
        <w:t>δ[</w:t>
      </w:r>
      <w:proofErr w:type="gramEnd"/>
      <w:r w:rsidRPr="00671A57">
        <w:rPr>
          <w:rFonts w:cs="Arial"/>
          <w:lang w:val="en-US"/>
        </w:rPr>
        <w:t>ppm] =  9.12 (s, 1H), 3.09 (</w:t>
      </w:r>
      <w:proofErr w:type="spellStart"/>
      <w:r w:rsidRPr="00671A57">
        <w:rPr>
          <w:rFonts w:cs="Arial"/>
          <w:lang w:val="en-US"/>
        </w:rPr>
        <w:t>qd</w:t>
      </w:r>
      <w:proofErr w:type="spellEnd"/>
      <w:r w:rsidRPr="00671A57">
        <w:rPr>
          <w:rFonts w:cs="Arial"/>
          <w:lang w:val="en-US"/>
        </w:rPr>
        <w:t xml:space="preserve">, </w:t>
      </w:r>
      <w:r w:rsidRPr="00671A57">
        <w:rPr>
          <w:rFonts w:cs="Arial"/>
          <w:i/>
          <w:lang w:val="en-US"/>
        </w:rPr>
        <w:t>J</w:t>
      </w:r>
      <w:r w:rsidRPr="00671A57">
        <w:rPr>
          <w:rFonts w:cs="Arial"/>
          <w:lang w:val="en-US"/>
        </w:rPr>
        <w:t xml:space="preserve"> = 7.3, 5.0 Hz, 6H), 2.37 (s, 3H), 1.18 (t, </w:t>
      </w:r>
      <w:r w:rsidRPr="00671A57">
        <w:rPr>
          <w:rFonts w:cs="Arial"/>
          <w:i/>
          <w:lang w:val="en-US"/>
        </w:rPr>
        <w:t>J</w:t>
      </w:r>
      <w:r w:rsidRPr="00671A57">
        <w:rPr>
          <w:rFonts w:cs="Arial"/>
          <w:lang w:val="en-US"/>
        </w:rPr>
        <w:t xml:space="preserve"> = 7.3 Hz, 9H).</w:t>
      </w:r>
    </w:p>
    <w:p w:rsidR="00630619" w:rsidRPr="00671A57" w:rsidRDefault="00630619" w:rsidP="00565977">
      <w:pPr>
        <w:jc w:val="both"/>
        <w:rPr>
          <w:rFonts w:cs="Arial"/>
          <w:lang w:val="en-US"/>
        </w:rPr>
      </w:pPr>
      <w:proofErr w:type="gramStart"/>
      <w:r w:rsidRPr="00671A57">
        <w:rPr>
          <w:rFonts w:cs="Arial"/>
          <w:b/>
          <w:vertAlign w:val="superscript"/>
          <w:lang w:val="en-US"/>
        </w:rPr>
        <w:t>13</w:t>
      </w:r>
      <w:r w:rsidRPr="00671A57">
        <w:rPr>
          <w:rFonts w:cs="Arial"/>
          <w:b/>
          <w:lang w:val="en-US"/>
        </w:rPr>
        <w:t>C{</w:t>
      </w:r>
      <w:proofErr w:type="gramEnd"/>
      <w:r w:rsidRPr="00671A57">
        <w:rPr>
          <w:rFonts w:cs="Arial"/>
          <w:b/>
          <w:vertAlign w:val="superscript"/>
          <w:lang w:val="en-US"/>
        </w:rPr>
        <w:t>1</w:t>
      </w:r>
      <w:r w:rsidRPr="00671A57">
        <w:rPr>
          <w:rFonts w:cs="Arial"/>
          <w:b/>
          <w:lang w:val="en-US"/>
        </w:rPr>
        <w:t>H}-NMR</w:t>
      </w:r>
      <w:r w:rsidRPr="00671A57">
        <w:rPr>
          <w:rFonts w:cs="Arial"/>
          <w:lang w:val="en-US"/>
        </w:rPr>
        <w:t xml:space="preserve"> (101 MHz, DMSO-d</w:t>
      </w:r>
      <w:r w:rsidRPr="00671A57">
        <w:rPr>
          <w:rFonts w:cs="Arial"/>
          <w:vertAlign w:val="subscript"/>
          <w:lang w:val="en-US"/>
        </w:rPr>
        <w:t>6</w:t>
      </w:r>
      <w:r w:rsidRPr="00671A57">
        <w:rPr>
          <w:rFonts w:cs="Arial"/>
          <w:lang w:val="en-US"/>
        </w:rPr>
        <w:t>) δ[ppm] = 45.72, 39.74, 8.56.</w:t>
      </w:r>
    </w:p>
    <w:p w:rsidR="00A81E3C" w:rsidRPr="00671A57" w:rsidRDefault="00241E32" w:rsidP="00DE76F8">
      <w:pPr>
        <w:ind w:left="1416" w:firstLine="708"/>
        <w:rPr>
          <w:rFonts w:cs="Arial"/>
          <w:lang w:val="en-US"/>
        </w:rPr>
      </w:pPr>
      <m:oMath>
        <m:r>
          <m:rPr>
            <m:sty m:val="p"/>
          </m:rPr>
          <w:rPr>
            <w:rFonts w:ascii="Cambria Math" w:hAnsi="Cambria Math" w:cs="Arial"/>
            <w:lang w:val="en-US"/>
          </w:rPr>
          <m:t>Yield</m:t>
        </m:r>
        <m:r>
          <w:rPr>
            <w:rFonts w:ascii="Cambria Math" w:hAnsi="Cambria Math" w:cs="Arial"/>
            <w:lang w:val="en-US"/>
          </w:rPr>
          <m:t xml:space="preserve">= </m:t>
        </m:r>
        <m:f>
          <m:fPr>
            <m:ctrlPr>
              <w:rPr>
                <w:rFonts w:ascii="Cambria Math" w:hAnsi="Cambria Math" w:cs="Arial"/>
                <w:i/>
                <w:lang w:val="en-US"/>
              </w:rPr>
            </m:ctrlPr>
          </m:fPr>
          <m:num>
            <m:r>
              <w:rPr>
                <w:rFonts w:ascii="Cambria Math" w:hAnsi="Cambria Math" w:cs="Arial"/>
                <w:lang w:val="en-US"/>
              </w:rPr>
              <m:t>n(</m:t>
            </m:r>
            <m:r>
              <m:rPr>
                <m:sty m:val="p"/>
              </m:rPr>
              <w:rPr>
                <w:rFonts w:ascii="Cambria Math" w:hAnsi="Cambria Math" w:cs="Arial"/>
                <w:lang w:val="en-US"/>
              </w:rPr>
              <m:t>product</m:t>
            </m:r>
            <m:r>
              <w:rPr>
                <w:rFonts w:ascii="Cambria Math" w:hAnsi="Cambria Math" w:cs="Arial"/>
                <w:lang w:val="en-US"/>
              </w:rPr>
              <m:t>)</m:t>
            </m:r>
          </m:num>
          <m:den>
            <m:r>
              <w:rPr>
                <w:rFonts w:ascii="Cambria Math" w:hAnsi="Cambria Math" w:cs="Arial"/>
                <w:lang w:val="en-US"/>
              </w:rPr>
              <m:t>n (</m:t>
            </m:r>
            <m:r>
              <m:rPr>
                <m:sty m:val="p"/>
              </m:rPr>
              <w:rPr>
                <w:rFonts w:ascii="Cambria Math" w:hAnsi="Cambria Math" w:cs="Arial"/>
                <w:lang w:val="en-US"/>
              </w:rPr>
              <m:t>educt</m:t>
            </m:r>
            <m:r>
              <w:rPr>
                <w:rFonts w:ascii="Cambria Math" w:hAnsi="Cambria Math" w:cs="Arial"/>
                <w:lang w:val="en-US"/>
              </w:rPr>
              <m:t>)</m:t>
            </m:r>
          </m:den>
        </m:f>
        <m:r>
          <w:rPr>
            <w:rFonts w:ascii="Cambria Math" w:hAnsi="Cambria Math" w:cs="Arial"/>
            <w:lang w:val="en-US"/>
          </w:rPr>
          <m:t xml:space="preserve">= </m:t>
        </m:r>
        <m:f>
          <m:fPr>
            <m:ctrlPr>
              <w:rPr>
                <w:rFonts w:ascii="Cambria Math" w:hAnsi="Cambria Math" w:cs="Arial"/>
                <w:i/>
                <w:lang w:val="en-US"/>
              </w:rPr>
            </m:ctrlPr>
          </m:fPr>
          <m:num>
            <m:r>
              <w:rPr>
                <w:rFonts w:ascii="Cambria Math" w:hAnsi="Cambria Math" w:cs="Arial"/>
                <w:lang w:val="en-US"/>
              </w:rPr>
              <m:t>n(</m:t>
            </m:r>
            <m:r>
              <m:rPr>
                <m:sty m:val="p"/>
              </m:rPr>
              <w:rPr>
                <w:rFonts w:ascii="Cambria Math" w:hAnsi="Cambria Math" w:cs="Arial"/>
                <w:lang w:val="en-US"/>
              </w:rPr>
              <m:t>triethylamine</m:t>
            </m:r>
            <m:r>
              <w:rPr>
                <w:rFonts w:ascii="Cambria Math" w:hAnsi="Cambria Math" w:cs="Arial"/>
                <w:lang w:val="en-US"/>
              </w:rPr>
              <m:t>)</m:t>
            </m:r>
          </m:num>
          <m:den>
            <m:r>
              <w:rPr>
                <w:rFonts w:ascii="Cambria Math" w:hAnsi="Cambria Math" w:cs="Arial"/>
                <w:lang w:val="en-US"/>
              </w:rPr>
              <m:t>n(</m:t>
            </m:r>
            <m:r>
              <m:rPr>
                <m:sty m:val="p"/>
              </m:rPr>
              <w:rPr>
                <w:rFonts w:ascii="Cambria Math" w:hAnsi="Cambria Math" w:cs="Arial"/>
                <w:lang w:val="en-US"/>
              </w:rPr>
              <m:t>[Et</m:t>
            </m:r>
            <m:r>
              <m:rPr>
                <m:sty m:val="p"/>
              </m:rPr>
              <w:rPr>
                <w:rFonts w:ascii="Cambria Math" w:hAnsi="Cambria Math" w:cs="Arial"/>
                <w:vertAlign w:val="subscript"/>
                <w:lang w:val="en-US"/>
              </w:rPr>
              <m:t>3</m:t>
            </m:r>
            <m:r>
              <m:rPr>
                <m:sty m:val="p"/>
              </m:rPr>
              <w:rPr>
                <w:rFonts w:ascii="Cambria Math" w:hAnsi="Cambria Math" w:cs="Arial"/>
                <w:lang w:val="en-US"/>
              </w:rPr>
              <m:t>NH][SO</m:t>
            </m:r>
            <m:r>
              <m:rPr>
                <m:sty m:val="p"/>
              </m:rPr>
              <w:rPr>
                <w:rFonts w:ascii="Cambria Math" w:hAnsi="Cambria Math" w:cs="Arial"/>
                <w:vertAlign w:val="subscript"/>
                <w:lang w:val="en-US"/>
              </w:rPr>
              <m:t>3</m:t>
            </m:r>
            <m:r>
              <m:rPr>
                <m:sty m:val="p"/>
              </m:rPr>
              <w:rPr>
                <w:rFonts w:ascii="Cambria Math" w:hAnsi="Cambria Math" w:cs="Arial"/>
                <w:lang w:val="en-US"/>
              </w:rPr>
              <m:t>Me]</m:t>
            </m:r>
            <m:r>
              <w:rPr>
                <w:rFonts w:ascii="Cambria Math" w:hAnsi="Cambria Math" w:cs="Arial"/>
                <w:lang w:val="en-US"/>
              </w:rPr>
              <m:t>)</m:t>
            </m:r>
          </m:den>
        </m:f>
        <m:r>
          <w:rPr>
            <w:rFonts w:ascii="Cambria Math" w:hAnsi="Cambria Math" w:cs="Arial"/>
            <w:lang w:val="en-US"/>
          </w:rPr>
          <m:t xml:space="preserve"> x 100%</m:t>
        </m:r>
      </m:oMath>
      <w:r w:rsidRPr="00671A57">
        <w:rPr>
          <w:rFonts w:eastAsiaTheme="minorEastAsia" w:cs="Arial"/>
          <w:lang w:val="en-US"/>
        </w:rPr>
        <w:tab/>
      </w:r>
      <w:r w:rsidRPr="00671A57">
        <w:rPr>
          <w:rFonts w:eastAsiaTheme="minorEastAsia" w:cs="Arial"/>
          <w:lang w:val="en-US"/>
        </w:rPr>
        <w:tab/>
        <w:t>(eq. 2)</w:t>
      </w:r>
    </w:p>
    <w:p w:rsidR="00B22C3E" w:rsidRPr="00671A57" w:rsidRDefault="00241E32" w:rsidP="004A6273">
      <w:pPr>
        <w:spacing w:after="480"/>
        <w:jc w:val="both"/>
        <w:rPr>
          <w:rFonts w:cs="Arial"/>
          <w:lang w:val="en-US"/>
        </w:rPr>
      </w:pPr>
      <w:r w:rsidRPr="00671A57">
        <w:rPr>
          <w:rFonts w:cs="Arial"/>
          <w:i/>
          <w:lang w:val="en-US"/>
        </w:rPr>
        <w:t>Discussion</w:t>
      </w:r>
      <w:r w:rsidRPr="00671A57">
        <w:rPr>
          <w:rFonts w:cs="Arial"/>
          <w:lang w:val="en-US"/>
        </w:rPr>
        <w:t xml:space="preserve">: The </w:t>
      </w:r>
      <w:proofErr w:type="spellStart"/>
      <w:r w:rsidR="00A468BB" w:rsidRPr="00671A57">
        <w:rPr>
          <w:rFonts w:cs="Arial"/>
          <w:lang w:val="en-US"/>
        </w:rPr>
        <w:t>protic</w:t>
      </w:r>
      <w:proofErr w:type="spellEnd"/>
      <w:r w:rsidR="00A468BB" w:rsidRPr="00671A57">
        <w:rPr>
          <w:rFonts w:cs="Arial"/>
          <w:lang w:val="en-US"/>
        </w:rPr>
        <w:t xml:space="preserve"> [Et</w:t>
      </w:r>
      <w:r w:rsidR="00A468BB" w:rsidRPr="00671A57">
        <w:rPr>
          <w:rFonts w:cs="Arial"/>
          <w:vertAlign w:val="subscript"/>
          <w:lang w:val="en-US"/>
        </w:rPr>
        <w:t>3</w:t>
      </w:r>
      <w:r w:rsidR="00A468BB" w:rsidRPr="00671A57">
        <w:rPr>
          <w:rFonts w:cs="Arial"/>
          <w:lang w:val="en-US"/>
        </w:rPr>
        <w:t>NH</w:t>
      </w:r>
      <w:proofErr w:type="gramStart"/>
      <w:r w:rsidR="00A468BB" w:rsidRPr="00671A57">
        <w:rPr>
          <w:rFonts w:cs="Arial"/>
          <w:lang w:val="en-US"/>
        </w:rPr>
        <w:t>][</w:t>
      </w:r>
      <w:proofErr w:type="gramEnd"/>
      <w:r w:rsidR="00A468BB" w:rsidRPr="00671A57">
        <w:rPr>
          <w:rFonts w:cs="Arial"/>
          <w:lang w:val="en-US"/>
        </w:rPr>
        <w:t>SO</w:t>
      </w:r>
      <w:r w:rsidR="00A468BB" w:rsidRPr="00671A57">
        <w:rPr>
          <w:rFonts w:cs="Arial"/>
          <w:vertAlign w:val="subscript"/>
          <w:lang w:val="en-US"/>
        </w:rPr>
        <w:t>3</w:t>
      </w:r>
      <w:r w:rsidR="00A468BB" w:rsidRPr="00671A57">
        <w:rPr>
          <w:rFonts w:cs="Arial"/>
          <w:lang w:val="en-US"/>
        </w:rPr>
        <w:t>Me]</w:t>
      </w:r>
      <w:r w:rsidRPr="00671A57">
        <w:rPr>
          <w:rFonts w:cs="Arial"/>
          <w:lang w:val="en-US"/>
        </w:rPr>
        <w:t xml:space="preserve"> can be observed by </w:t>
      </w:r>
      <w:r w:rsidR="00A468BB" w:rsidRPr="00671A57">
        <w:rPr>
          <w:rFonts w:cs="Arial"/>
          <w:lang w:val="en-US"/>
        </w:rPr>
        <w:t>acid-base neutralization</w:t>
      </w:r>
      <w:r w:rsidRPr="00671A57">
        <w:rPr>
          <w:rFonts w:cs="Arial"/>
          <w:lang w:val="en-US"/>
        </w:rPr>
        <w:t xml:space="preserve"> of </w:t>
      </w:r>
      <w:proofErr w:type="spellStart"/>
      <w:r w:rsidR="00A468BB" w:rsidRPr="00671A57">
        <w:rPr>
          <w:rFonts w:cs="Arial"/>
          <w:lang w:val="en-US"/>
        </w:rPr>
        <w:t>triethylamine</w:t>
      </w:r>
      <w:proofErr w:type="spellEnd"/>
      <w:r w:rsidR="00A468BB" w:rsidRPr="00671A57">
        <w:rPr>
          <w:rFonts w:cs="Arial"/>
          <w:lang w:val="en-US"/>
        </w:rPr>
        <w:t xml:space="preserve"> </w:t>
      </w:r>
      <w:r w:rsidRPr="00671A57">
        <w:rPr>
          <w:rFonts w:cs="Arial"/>
          <w:lang w:val="en-US"/>
        </w:rPr>
        <w:t xml:space="preserve"> and </w:t>
      </w:r>
      <w:proofErr w:type="spellStart"/>
      <w:r w:rsidR="00A468BB" w:rsidRPr="00671A57">
        <w:rPr>
          <w:rFonts w:cs="Arial"/>
          <w:lang w:val="en-US"/>
        </w:rPr>
        <w:t>methanesulfonic</w:t>
      </w:r>
      <w:proofErr w:type="spellEnd"/>
      <w:r w:rsidR="00A468BB" w:rsidRPr="00671A57">
        <w:rPr>
          <w:rFonts w:cs="Arial"/>
          <w:lang w:val="en-US"/>
        </w:rPr>
        <w:t xml:space="preserve"> acid</w:t>
      </w:r>
      <w:r w:rsidRPr="00671A57">
        <w:rPr>
          <w:rFonts w:cs="Arial"/>
          <w:lang w:val="en-US"/>
        </w:rPr>
        <w:t xml:space="preserve"> </w:t>
      </w:r>
      <w:r w:rsidR="00A468BB" w:rsidRPr="00671A57">
        <w:rPr>
          <w:rFonts w:cs="Arial"/>
          <w:lang w:val="en-US"/>
        </w:rPr>
        <w:t xml:space="preserve">in aqueous media. The </w:t>
      </w:r>
      <w:r w:rsidR="00DE76F8" w:rsidRPr="00671A57">
        <w:rPr>
          <w:rFonts w:cs="Arial"/>
          <w:lang w:val="en-US"/>
        </w:rPr>
        <w:t>reaction is</w:t>
      </w:r>
      <w:r w:rsidR="00A468BB" w:rsidRPr="00671A57">
        <w:rPr>
          <w:rFonts w:cs="Arial"/>
          <w:lang w:val="en-US"/>
        </w:rPr>
        <w:t xml:space="preserve"> highly</w:t>
      </w:r>
      <w:r w:rsidRPr="00671A57">
        <w:rPr>
          <w:rFonts w:cs="Arial"/>
          <w:lang w:val="en-US"/>
        </w:rPr>
        <w:t xml:space="preserve"> exother</w:t>
      </w:r>
      <w:r w:rsidR="00242613">
        <w:rPr>
          <w:rFonts w:cs="Arial"/>
          <w:lang w:val="en-US"/>
        </w:rPr>
        <w:t>m</w:t>
      </w:r>
      <w:r w:rsidR="00DE76F8" w:rsidRPr="00671A57">
        <w:rPr>
          <w:rFonts w:cs="Arial"/>
          <w:lang w:val="en-US"/>
        </w:rPr>
        <w:t xml:space="preserve">ic </w:t>
      </w:r>
      <w:r w:rsidR="001B6306">
        <w:rPr>
          <w:rFonts w:cs="Arial"/>
          <w:lang w:val="en-US"/>
        </w:rPr>
        <w:t xml:space="preserve">so that </w:t>
      </w:r>
      <w:r w:rsidR="00A468BB" w:rsidRPr="00671A57">
        <w:rPr>
          <w:rFonts w:cs="Arial"/>
          <w:lang w:val="en-US"/>
        </w:rPr>
        <w:t>intensive cooling needs to be applied.</w:t>
      </w:r>
      <w:r w:rsidR="00DE76F8" w:rsidRPr="00671A57">
        <w:rPr>
          <w:rFonts w:cs="Arial"/>
          <w:lang w:val="en-US"/>
        </w:rPr>
        <w:t xml:space="preserve"> The synthesis demands only water as solvent making it an environmental benign synthesis. In addition the reaction proceeds in quantitative yield as seen from the weighted product and the absence of impurities in the NMR-spectra. From economic and ecological perspective the application of </w:t>
      </w:r>
      <w:proofErr w:type="spellStart"/>
      <w:r w:rsidR="00DE76F8" w:rsidRPr="00671A57">
        <w:rPr>
          <w:rFonts w:cs="Arial"/>
          <w:lang w:val="en-US"/>
        </w:rPr>
        <w:t>protic</w:t>
      </w:r>
      <w:proofErr w:type="spellEnd"/>
      <w:r w:rsidR="00DE76F8" w:rsidRPr="00671A57">
        <w:rPr>
          <w:rFonts w:cs="Arial"/>
          <w:lang w:val="en-US"/>
        </w:rPr>
        <w:t xml:space="preserve"> ionic liquids is favorable as the reactions are faster, have quantita</w:t>
      </w:r>
      <w:r w:rsidR="001B6306">
        <w:rPr>
          <w:rFonts w:cs="Arial"/>
          <w:lang w:val="en-US"/>
        </w:rPr>
        <w:t xml:space="preserve">tive yields and can </w:t>
      </w:r>
      <w:proofErr w:type="gramStart"/>
      <w:r w:rsidR="001B6306">
        <w:rPr>
          <w:rFonts w:cs="Arial"/>
          <w:lang w:val="en-US"/>
        </w:rPr>
        <w:t xml:space="preserve">be </w:t>
      </w:r>
      <w:r w:rsidR="00DE76F8" w:rsidRPr="00671A57">
        <w:rPr>
          <w:rFonts w:cs="Arial"/>
          <w:lang w:val="en-US"/>
        </w:rPr>
        <w:t xml:space="preserve"> performed</w:t>
      </w:r>
      <w:proofErr w:type="gramEnd"/>
      <w:r w:rsidR="00DE76F8" w:rsidRPr="00671A57">
        <w:rPr>
          <w:rFonts w:cs="Arial"/>
          <w:lang w:val="en-US"/>
        </w:rPr>
        <w:t xml:space="preserve"> at ambient temperatures.  </w:t>
      </w:r>
    </w:p>
    <w:p w:rsidR="004C70F7" w:rsidRPr="00671A57" w:rsidRDefault="003754D2" w:rsidP="00671A57">
      <w:pPr>
        <w:pStyle w:val="berschrift1"/>
        <w:rPr>
          <w:lang w:val="en-US"/>
        </w:rPr>
      </w:pPr>
      <w:bookmarkStart w:id="9" w:name="_Toc490738016"/>
      <w:r w:rsidRPr="00671A57">
        <w:rPr>
          <w:lang w:val="en-US"/>
        </w:rPr>
        <w:t xml:space="preserve">2. </w:t>
      </w:r>
      <w:r w:rsidR="00671A57">
        <w:rPr>
          <w:lang w:val="en-US"/>
        </w:rPr>
        <w:t xml:space="preserve">Full </w:t>
      </w:r>
      <w:r w:rsidR="00D23435">
        <w:rPr>
          <w:lang w:val="en-US"/>
        </w:rPr>
        <w:t>h</w:t>
      </w:r>
      <w:r w:rsidRPr="00671A57">
        <w:rPr>
          <w:lang w:val="en-US"/>
        </w:rPr>
        <w:t xml:space="preserve">azards and </w:t>
      </w:r>
      <w:r w:rsidR="00D23435">
        <w:rPr>
          <w:lang w:val="en-US"/>
        </w:rPr>
        <w:t>p</w:t>
      </w:r>
      <w:r w:rsidRPr="00671A57">
        <w:rPr>
          <w:lang w:val="en-US"/>
        </w:rPr>
        <w:t>recaution statements for the chemicals used</w:t>
      </w:r>
      <w:r w:rsidR="00671A57">
        <w:rPr>
          <w:lang w:val="en-US"/>
        </w:rPr>
        <w:t xml:space="preserve"> in the main </w:t>
      </w:r>
      <w:r w:rsidR="007E233A">
        <w:rPr>
          <w:lang w:val="en-US"/>
        </w:rPr>
        <w:t>manuscript</w:t>
      </w:r>
      <w:bookmarkEnd w:id="9"/>
    </w:p>
    <w:p w:rsidR="004C70F7" w:rsidRPr="00671A57" w:rsidRDefault="00671A57" w:rsidP="00671A57">
      <w:pPr>
        <w:pStyle w:val="Beschriftung"/>
        <w:rPr>
          <w:rFonts w:cs="Arial"/>
          <w:szCs w:val="22"/>
          <w:lang w:val="en-US"/>
        </w:rPr>
      </w:pPr>
      <w:r w:rsidRPr="00671A57">
        <w:rPr>
          <w:szCs w:val="22"/>
          <w:lang w:val="en-US"/>
        </w:rPr>
        <w:t xml:space="preserve">Table </w:t>
      </w:r>
      <w:r w:rsidRPr="00671A57">
        <w:rPr>
          <w:szCs w:val="22"/>
        </w:rPr>
        <w:fldChar w:fldCharType="begin"/>
      </w:r>
      <w:r w:rsidRPr="00671A57">
        <w:rPr>
          <w:szCs w:val="22"/>
          <w:lang w:val="en-US"/>
        </w:rPr>
        <w:instrText xml:space="preserve"> SEQ Table \* ARABIC </w:instrText>
      </w:r>
      <w:r w:rsidRPr="00671A57">
        <w:rPr>
          <w:szCs w:val="22"/>
        </w:rPr>
        <w:fldChar w:fldCharType="separate"/>
      </w:r>
      <w:r w:rsidR="00A758AE">
        <w:rPr>
          <w:noProof/>
          <w:szCs w:val="22"/>
          <w:lang w:val="en-US"/>
        </w:rPr>
        <w:t>5</w:t>
      </w:r>
      <w:r w:rsidRPr="00671A57">
        <w:rPr>
          <w:szCs w:val="22"/>
        </w:rPr>
        <w:fldChar w:fldCharType="end"/>
      </w:r>
      <w:r w:rsidRPr="00671A57">
        <w:rPr>
          <w:szCs w:val="22"/>
          <w:lang w:val="en-US"/>
        </w:rPr>
        <w:t xml:space="preserve">. </w:t>
      </w:r>
      <w:r w:rsidR="003754D2" w:rsidRPr="00671A57">
        <w:rPr>
          <w:rFonts w:cs="Arial"/>
          <w:b w:val="0"/>
          <w:szCs w:val="22"/>
          <w:lang w:val="en-US"/>
        </w:rPr>
        <w:t>GHS-classification along with hazards and precaution statements for dissolution and processing of the biopolymers in the ionic liquids.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2101"/>
        <w:gridCol w:w="1442"/>
        <w:gridCol w:w="2376"/>
      </w:tblGrid>
      <w:tr w:rsidR="003754D2" w:rsidRPr="00671A57" w:rsidTr="003754D2">
        <w:tc>
          <w:tcPr>
            <w:tcW w:w="1951" w:type="dxa"/>
            <w:tcBorders>
              <w:top w:val="single" w:sz="4" w:space="0" w:color="auto"/>
              <w:bottom w:val="single" w:sz="12" w:space="0" w:color="auto"/>
            </w:tcBorders>
          </w:tcPr>
          <w:p w:rsidR="003754D2" w:rsidRPr="00671A57" w:rsidRDefault="003754D2" w:rsidP="00F4451D">
            <w:pPr>
              <w:spacing w:line="360" w:lineRule="auto"/>
              <w:rPr>
                <w:rFonts w:cs="Arial"/>
                <w:lang w:val="en-US"/>
              </w:rPr>
            </w:pPr>
            <w:r w:rsidRPr="00671A57">
              <w:rPr>
                <w:rFonts w:cs="Arial"/>
                <w:lang w:val="en-US"/>
              </w:rPr>
              <w:t xml:space="preserve">Substance name </w:t>
            </w:r>
          </w:p>
        </w:tc>
        <w:tc>
          <w:tcPr>
            <w:tcW w:w="1418" w:type="dxa"/>
            <w:tcBorders>
              <w:top w:val="single" w:sz="4" w:space="0" w:color="auto"/>
              <w:bottom w:val="single" w:sz="12" w:space="0" w:color="auto"/>
            </w:tcBorders>
          </w:tcPr>
          <w:p w:rsidR="003754D2" w:rsidRPr="00671A57" w:rsidRDefault="003754D2" w:rsidP="00F4451D">
            <w:pPr>
              <w:spacing w:line="360" w:lineRule="auto"/>
              <w:rPr>
                <w:rFonts w:cs="Arial"/>
                <w:lang w:val="en-US"/>
              </w:rPr>
            </w:pPr>
            <w:r w:rsidRPr="00671A57">
              <w:rPr>
                <w:rFonts w:cs="Arial"/>
                <w:lang w:val="en-US"/>
              </w:rPr>
              <w:t xml:space="preserve">CAS-Number </w:t>
            </w:r>
          </w:p>
        </w:tc>
        <w:tc>
          <w:tcPr>
            <w:tcW w:w="2101" w:type="dxa"/>
            <w:tcBorders>
              <w:top w:val="single" w:sz="4" w:space="0" w:color="auto"/>
              <w:bottom w:val="single" w:sz="12" w:space="0" w:color="auto"/>
            </w:tcBorders>
          </w:tcPr>
          <w:p w:rsidR="003754D2" w:rsidRPr="00671A57" w:rsidRDefault="003754D2" w:rsidP="00F4451D">
            <w:pPr>
              <w:spacing w:line="360" w:lineRule="auto"/>
              <w:rPr>
                <w:rFonts w:cs="Arial"/>
                <w:lang w:val="en-US"/>
              </w:rPr>
            </w:pPr>
            <w:r w:rsidRPr="00671A57">
              <w:rPr>
                <w:rFonts w:cs="Arial"/>
                <w:lang w:val="en-US"/>
              </w:rPr>
              <w:t>GHS-classification</w:t>
            </w:r>
          </w:p>
        </w:tc>
        <w:tc>
          <w:tcPr>
            <w:tcW w:w="1442" w:type="dxa"/>
            <w:tcBorders>
              <w:top w:val="single" w:sz="4" w:space="0" w:color="auto"/>
              <w:bottom w:val="single" w:sz="12" w:space="0" w:color="auto"/>
            </w:tcBorders>
          </w:tcPr>
          <w:p w:rsidR="003754D2" w:rsidRPr="00671A57" w:rsidRDefault="003754D2" w:rsidP="00F4451D">
            <w:pPr>
              <w:spacing w:line="360" w:lineRule="auto"/>
              <w:rPr>
                <w:rFonts w:cs="Arial"/>
                <w:lang w:val="en-US"/>
              </w:rPr>
            </w:pPr>
            <w:r w:rsidRPr="00671A57">
              <w:rPr>
                <w:rFonts w:cs="Arial"/>
                <w:lang w:val="en-US"/>
              </w:rPr>
              <w:t>H-phrases</w:t>
            </w:r>
          </w:p>
        </w:tc>
        <w:tc>
          <w:tcPr>
            <w:tcW w:w="2376" w:type="dxa"/>
            <w:tcBorders>
              <w:top w:val="single" w:sz="4" w:space="0" w:color="auto"/>
              <w:bottom w:val="single" w:sz="12" w:space="0" w:color="auto"/>
            </w:tcBorders>
          </w:tcPr>
          <w:p w:rsidR="003754D2" w:rsidRPr="00671A57" w:rsidRDefault="003754D2" w:rsidP="00F4451D">
            <w:pPr>
              <w:spacing w:line="360" w:lineRule="auto"/>
              <w:rPr>
                <w:rFonts w:cs="Arial"/>
                <w:lang w:val="en-US"/>
              </w:rPr>
            </w:pPr>
            <w:r w:rsidRPr="00671A57">
              <w:rPr>
                <w:rFonts w:cs="Arial"/>
                <w:lang w:val="en-US"/>
              </w:rPr>
              <w:t>P-phrases</w:t>
            </w:r>
          </w:p>
        </w:tc>
      </w:tr>
      <w:tr w:rsidR="003754D2" w:rsidRPr="00B1390F" w:rsidTr="003754D2">
        <w:tc>
          <w:tcPr>
            <w:tcW w:w="1951" w:type="dxa"/>
            <w:tcBorders>
              <w:top w:val="single" w:sz="12" w:space="0" w:color="auto"/>
            </w:tcBorders>
          </w:tcPr>
          <w:p w:rsidR="003754D2" w:rsidRPr="00671A57" w:rsidRDefault="003754D2" w:rsidP="00F4451D">
            <w:pPr>
              <w:spacing w:line="360" w:lineRule="auto"/>
              <w:rPr>
                <w:rFonts w:cs="Arial"/>
                <w:lang w:val="en-US"/>
              </w:rPr>
            </w:pPr>
            <w:r w:rsidRPr="00671A57">
              <w:rPr>
                <w:rFonts w:cs="Arial"/>
                <w:lang w:val="en-US"/>
              </w:rPr>
              <w:t>[C4</w:t>
            </w:r>
            <w:r w:rsidRPr="00671A57">
              <w:rPr>
                <w:rFonts w:cs="Arial"/>
                <w:lang w:val="en-US"/>
              </w:rPr>
              <w:noBreakHyphen/>
              <w:t>mim][Cl]</w:t>
            </w:r>
          </w:p>
        </w:tc>
        <w:tc>
          <w:tcPr>
            <w:tcW w:w="1418" w:type="dxa"/>
            <w:tcBorders>
              <w:top w:val="single" w:sz="12" w:space="0" w:color="auto"/>
            </w:tcBorders>
          </w:tcPr>
          <w:p w:rsidR="003754D2" w:rsidRPr="00671A57" w:rsidRDefault="003754D2" w:rsidP="00F4451D">
            <w:pPr>
              <w:spacing w:line="360" w:lineRule="auto"/>
              <w:rPr>
                <w:rFonts w:cs="Arial"/>
                <w:lang w:val="en-US"/>
              </w:rPr>
            </w:pPr>
            <w:r w:rsidRPr="00671A57">
              <w:rPr>
                <w:rFonts w:cs="Arial"/>
                <w:lang w:val="en-US"/>
              </w:rPr>
              <w:t>79917-90-1</w:t>
            </w:r>
          </w:p>
        </w:tc>
        <w:tc>
          <w:tcPr>
            <w:tcW w:w="2101" w:type="dxa"/>
            <w:tcBorders>
              <w:top w:val="single" w:sz="12" w:space="0" w:color="auto"/>
            </w:tcBorders>
          </w:tcPr>
          <w:p w:rsidR="003754D2" w:rsidRPr="00671A57" w:rsidRDefault="00DE76F8" w:rsidP="00F4451D">
            <w:pPr>
              <w:spacing w:line="360" w:lineRule="auto"/>
              <w:rPr>
                <w:rFonts w:cs="Arial"/>
                <w:lang w:val="en-US"/>
              </w:rPr>
            </w:pPr>
            <w:r w:rsidRPr="00671A57">
              <w:rPr>
                <w:rFonts w:cs="Arial"/>
                <w:lang w:val="en-US"/>
              </w:rPr>
              <w:t>GHS06, GHS09</w:t>
            </w:r>
          </w:p>
        </w:tc>
        <w:tc>
          <w:tcPr>
            <w:tcW w:w="1442" w:type="dxa"/>
            <w:tcBorders>
              <w:top w:val="single" w:sz="12" w:space="0" w:color="auto"/>
            </w:tcBorders>
          </w:tcPr>
          <w:p w:rsidR="003754D2" w:rsidRPr="00671A57" w:rsidRDefault="003754D2" w:rsidP="00F4451D">
            <w:pPr>
              <w:spacing w:line="360" w:lineRule="auto"/>
              <w:rPr>
                <w:rFonts w:cs="Arial"/>
                <w:lang w:val="en-US"/>
              </w:rPr>
            </w:pPr>
            <w:r w:rsidRPr="00671A57">
              <w:rPr>
                <w:rFonts w:cs="Arial"/>
                <w:lang w:val="en-US"/>
              </w:rPr>
              <w:t>H315-H319-H335</w:t>
            </w:r>
          </w:p>
        </w:tc>
        <w:tc>
          <w:tcPr>
            <w:tcW w:w="2376" w:type="dxa"/>
            <w:tcBorders>
              <w:top w:val="single" w:sz="12" w:space="0" w:color="auto"/>
            </w:tcBorders>
          </w:tcPr>
          <w:p w:rsidR="003754D2" w:rsidRPr="00671A57" w:rsidRDefault="003754D2" w:rsidP="00F4451D">
            <w:pPr>
              <w:spacing w:line="360" w:lineRule="auto"/>
              <w:rPr>
                <w:rFonts w:cs="Arial"/>
                <w:lang w:val="en-US"/>
              </w:rPr>
            </w:pPr>
            <w:r w:rsidRPr="00671A57">
              <w:rPr>
                <w:rFonts w:cs="Arial"/>
                <w:lang w:val="en-US"/>
              </w:rPr>
              <w:t>P261-P280-P305 + P351 + P338-P304 + P340-P362-P312-P321-P405-P403 + P233-P501a</w:t>
            </w:r>
          </w:p>
        </w:tc>
      </w:tr>
      <w:tr w:rsidR="003754D2" w:rsidRPr="00671A57" w:rsidTr="003754D2">
        <w:tc>
          <w:tcPr>
            <w:tcW w:w="1951" w:type="dxa"/>
          </w:tcPr>
          <w:p w:rsidR="003754D2" w:rsidRPr="00671A57" w:rsidRDefault="003754D2" w:rsidP="00F4451D">
            <w:pPr>
              <w:spacing w:line="360" w:lineRule="auto"/>
              <w:rPr>
                <w:rFonts w:cs="Arial"/>
                <w:lang w:val="en-US"/>
              </w:rPr>
            </w:pPr>
            <w:r w:rsidRPr="00671A57">
              <w:rPr>
                <w:rFonts w:cs="Arial"/>
                <w:lang w:val="en-US"/>
              </w:rPr>
              <w:t>[Et</w:t>
            </w:r>
            <w:r w:rsidRPr="00671A57">
              <w:rPr>
                <w:rFonts w:cs="Arial"/>
                <w:vertAlign w:val="subscript"/>
                <w:lang w:val="en-US"/>
              </w:rPr>
              <w:t>3</w:t>
            </w:r>
            <w:r w:rsidRPr="00671A57">
              <w:rPr>
                <w:rFonts w:cs="Arial"/>
                <w:lang w:val="en-US"/>
              </w:rPr>
              <w:t>NH][SO</w:t>
            </w:r>
            <w:r w:rsidRPr="00671A57">
              <w:rPr>
                <w:rFonts w:cs="Arial"/>
                <w:vertAlign w:val="subscript"/>
                <w:lang w:val="en-US"/>
              </w:rPr>
              <w:t>3</w:t>
            </w:r>
            <w:r w:rsidRPr="00671A57">
              <w:rPr>
                <w:rFonts w:cs="Arial"/>
                <w:lang w:val="en-US"/>
              </w:rPr>
              <w:t>Me]</w:t>
            </w:r>
          </w:p>
        </w:tc>
        <w:tc>
          <w:tcPr>
            <w:tcW w:w="1418" w:type="dxa"/>
          </w:tcPr>
          <w:p w:rsidR="003754D2" w:rsidRPr="00671A57" w:rsidRDefault="003754D2" w:rsidP="00F4451D">
            <w:pPr>
              <w:spacing w:line="360" w:lineRule="auto"/>
              <w:rPr>
                <w:rFonts w:cs="Arial"/>
                <w:lang w:val="en-US"/>
              </w:rPr>
            </w:pPr>
            <w:r w:rsidRPr="00671A57">
              <w:rPr>
                <w:rFonts w:cs="Arial"/>
                <w:lang w:val="en-US"/>
              </w:rPr>
              <w:t>-</w:t>
            </w:r>
          </w:p>
        </w:tc>
        <w:tc>
          <w:tcPr>
            <w:tcW w:w="5919" w:type="dxa"/>
            <w:gridSpan w:val="3"/>
          </w:tcPr>
          <w:p w:rsidR="003754D2" w:rsidRPr="00671A57" w:rsidRDefault="003754D2" w:rsidP="00F4451D">
            <w:pPr>
              <w:spacing w:line="360" w:lineRule="auto"/>
              <w:jc w:val="center"/>
              <w:rPr>
                <w:rFonts w:cs="Arial"/>
                <w:lang w:val="en-US"/>
              </w:rPr>
            </w:pPr>
            <w:r w:rsidRPr="00671A57">
              <w:rPr>
                <w:rFonts w:cs="Arial"/>
                <w:lang w:val="en-US"/>
              </w:rPr>
              <w:t>not yet classified</w:t>
            </w:r>
          </w:p>
        </w:tc>
      </w:tr>
      <w:tr w:rsidR="003754D2" w:rsidRPr="00671A57" w:rsidTr="003754D2">
        <w:tc>
          <w:tcPr>
            <w:tcW w:w="1951" w:type="dxa"/>
          </w:tcPr>
          <w:p w:rsidR="003754D2" w:rsidRPr="00671A57" w:rsidRDefault="003754D2" w:rsidP="00F4451D">
            <w:pPr>
              <w:spacing w:line="360" w:lineRule="auto"/>
              <w:rPr>
                <w:rFonts w:cs="Arial"/>
                <w:lang w:val="en-US"/>
              </w:rPr>
            </w:pPr>
            <w:r w:rsidRPr="00671A57">
              <w:rPr>
                <w:rFonts w:cs="Arial"/>
                <w:lang w:val="en-US"/>
              </w:rPr>
              <w:t>cellulose</w:t>
            </w:r>
          </w:p>
        </w:tc>
        <w:tc>
          <w:tcPr>
            <w:tcW w:w="1418" w:type="dxa"/>
          </w:tcPr>
          <w:p w:rsidR="003754D2" w:rsidRPr="00671A57" w:rsidRDefault="003754D2" w:rsidP="00F4451D">
            <w:pPr>
              <w:spacing w:line="360" w:lineRule="auto"/>
              <w:rPr>
                <w:rFonts w:cs="Arial"/>
                <w:lang w:val="en-US"/>
              </w:rPr>
            </w:pPr>
            <w:r w:rsidRPr="00671A57">
              <w:rPr>
                <w:rFonts w:cs="Arial"/>
                <w:lang w:val="en-US"/>
              </w:rPr>
              <w:t>9004-34-6</w:t>
            </w:r>
          </w:p>
        </w:tc>
        <w:tc>
          <w:tcPr>
            <w:tcW w:w="2101" w:type="dxa"/>
          </w:tcPr>
          <w:p w:rsidR="003754D2" w:rsidRPr="00671A57" w:rsidRDefault="003754D2" w:rsidP="00F4451D">
            <w:pPr>
              <w:spacing w:line="360" w:lineRule="auto"/>
              <w:rPr>
                <w:rFonts w:cs="Arial"/>
                <w:lang w:val="en-US"/>
              </w:rPr>
            </w:pPr>
            <w:r w:rsidRPr="00671A57">
              <w:rPr>
                <w:rFonts w:cs="Arial"/>
                <w:lang w:val="en-US"/>
              </w:rPr>
              <w:t>none</w:t>
            </w:r>
          </w:p>
        </w:tc>
        <w:tc>
          <w:tcPr>
            <w:tcW w:w="1442" w:type="dxa"/>
          </w:tcPr>
          <w:p w:rsidR="003754D2" w:rsidRPr="00671A57" w:rsidRDefault="003754D2" w:rsidP="003754D2">
            <w:pPr>
              <w:spacing w:line="360" w:lineRule="auto"/>
              <w:rPr>
                <w:rFonts w:cs="Arial"/>
                <w:lang w:val="en-US"/>
              </w:rPr>
            </w:pPr>
            <w:r w:rsidRPr="00671A57">
              <w:rPr>
                <w:rFonts w:cs="Arial"/>
                <w:lang w:val="en-US"/>
              </w:rPr>
              <w:t>none</w:t>
            </w:r>
          </w:p>
        </w:tc>
        <w:tc>
          <w:tcPr>
            <w:tcW w:w="2376" w:type="dxa"/>
          </w:tcPr>
          <w:p w:rsidR="003754D2" w:rsidRPr="00671A57" w:rsidRDefault="003754D2" w:rsidP="00F4451D">
            <w:pPr>
              <w:spacing w:line="360" w:lineRule="auto"/>
              <w:rPr>
                <w:rFonts w:cs="Arial"/>
                <w:lang w:val="en-US"/>
              </w:rPr>
            </w:pPr>
            <w:r w:rsidRPr="00671A57">
              <w:rPr>
                <w:rFonts w:cs="Arial"/>
                <w:lang w:val="en-US"/>
              </w:rPr>
              <w:t>none</w:t>
            </w:r>
          </w:p>
        </w:tc>
      </w:tr>
      <w:tr w:rsidR="003754D2" w:rsidRPr="00671A57" w:rsidTr="003754D2">
        <w:tc>
          <w:tcPr>
            <w:tcW w:w="1951" w:type="dxa"/>
          </w:tcPr>
          <w:p w:rsidR="003754D2" w:rsidRPr="00671A57" w:rsidRDefault="003754D2" w:rsidP="00F4451D">
            <w:pPr>
              <w:spacing w:line="360" w:lineRule="auto"/>
              <w:rPr>
                <w:rFonts w:cs="Arial"/>
                <w:lang w:val="en-US"/>
              </w:rPr>
            </w:pPr>
            <w:proofErr w:type="spellStart"/>
            <w:r w:rsidRPr="00671A57">
              <w:rPr>
                <w:rFonts w:cs="Arial"/>
                <w:lang w:val="en-US"/>
              </w:rPr>
              <w:t>kraft</w:t>
            </w:r>
            <w:proofErr w:type="spellEnd"/>
            <w:r w:rsidRPr="00671A57">
              <w:rPr>
                <w:rFonts w:cs="Arial"/>
                <w:lang w:val="en-US"/>
              </w:rPr>
              <w:t>- lignin, alkali</w:t>
            </w:r>
          </w:p>
        </w:tc>
        <w:tc>
          <w:tcPr>
            <w:tcW w:w="1418" w:type="dxa"/>
          </w:tcPr>
          <w:p w:rsidR="003754D2" w:rsidRPr="00671A57" w:rsidRDefault="003754D2" w:rsidP="00F4451D">
            <w:pPr>
              <w:spacing w:line="360" w:lineRule="auto"/>
              <w:rPr>
                <w:rFonts w:cs="Arial"/>
                <w:lang w:val="en-US"/>
              </w:rPr>
            </w:pPr>
            <w:r w:rsidRPr="00671A57">
              <w:rPr>
                <w:rFonts w:cs="Arial"/>
                <w:lang w:val="en-US"/>
              </w:rPr>
              <w:t>8068-05-1</w:t>
            </w:r>
          </w:p>
        </w:tc>
        <w:tc>
          <w:tcPr>
            <w:tcW w:w="2101" w:type="dxa"/>
          </w:tcPr>
          <w:p w:rsidR="003754D2" w:rsidRPr="00671A57" w:rsidRDefault="003754D2" w:rsidP="00F4451D">
            <w:pPr>
              <w:spacing w:line="360" w:lineRule="auto"/>
              <w:rPr>
                <w:rFonts w:cs="Arial"/>
                <w:lang w:val="en-US"/>
              </w:rPr>
            </w:pPr>
            <w:r w:rsidRPr="00671A57">
              <w:rPr>
                <w:rFonts w:cs="Arial"/>
                <w:lang w:val="en-US"/>
              </w:rPr>
              <w:t>none</w:t>
            </w:r>
          </w:p>
        </w:tc>
        <w:tc>
          <w:tcPr>
            <w:tcW w:w="1442" w:type="dxa"/>
          </w:tcPr>
          <w:p w:rsidR="003754D2" w:rsidRPr="00671A57" w:rsidRDefault="003754D2" w:rsidP="003754D2">
            <w:pPr>
              <w:spacing w:line="360" w:lineRule="auto"/>
              <w:rPr>
                <w:rFonts w:cs="Arial"/>
                <w:lang w:val="en-US"/>
              </w:rPr>
            </w:pPr>
            <w:r w:rsidRPr="00671A57">
              <w:rPr>
                <w:rFonts w:cs="Arial"/>
                <w:lang w:val="en-US"/>
              </w:rPr>
              <w:t>none</w:t>
            </w:r>
          </w:p>
        </w:tc>
        <w:tc>
          <w:tcPr>
            <w:tcW w:w="2376" w:type="dxa"/>
          </w:tcPr>
          <w:p w:rsidR="003754D2" w:rsidRPr="00671A57" w:rsidRDefault="003754D2" w:rsidP="00F4451D">
            <w:pPr>
              <w:spacing w:line="360" w:lineRule="auto"/>
              <w:rPr>
                <w:rFonts w:cs="Arial"/>
                <w:lang w:val="en-US"/>
              </w:rPr>
            </w:pPr>
            <w:r w:rsidRPr="00671A57">
              <w:rPr>
                <w:rFonts w:cs="Arial"/>
                <w:lang w:val="en-US"/>
              </w:rPr>
              <w:t>none</w:t>
            </w:r>
          </w:p>
        </w:tc>
      </w:tr>
      <w:tr w:rsidR="003754D2" w:rsidRPr="00671A57" w:rsidTr="003754D2">
        <w:tc>
          <w:tcPr>
            <w:tcW w:w="1951" w:type="dxa"/>
          </w:tcPr>
          <w:p w:rsidR="003754D2" w:rsidRPr="00671A57" w:rsidRDefault="003754D2" w:rsidP="00F4451D">
            <w:pPr>
              <w:spacing w:line="360" w:lineRule="auto"/>
              <w:rPr>
                <w:rFonts w:cs="Arial"/>
                <w:lang w:val="en-US"/>
              </w:rPr>
            </w:pPr>
            <w:proofErr w:type="spellStart"/>
            <w:r w:rsidRPr="00671A57">
              <w:rPr>
                <w:rFonts w:cs="Arial"/>
                <w:lang w:val="en-US"/>
              </w:rPr>
              <w:t>adipoyl</w:t>
            </w:r>
            <w:proofErr w:type="spellEnd"/>
            <w:r w:rsidRPr="00671A57">
              <w:rPr>
                <w:rFonts w:cs="Arial"/>
                <w:lang w:val="en-US"/>
              </w:rPr>
              <w:t xml:space="preserve"> dichloride</w:t>
            </w:r>
          </w:p>
        </w:tc>
        <w:tc>
          <w:tcPr>
            <w:tcW w:w="1418" w:type="dxa"/>
          </w:tcPr>
          <w:p w:rsidR="003754D2" w:rsidRPr="00671A57" w:rsidRDefault="003754D2" w:rsidP="00F4451D">
            <w:pPr>
              <w:spacing w:line="360" w:lineRule="auto"/>
              <w:rPr>
                <w:rFonts w:cs="Arial"/>
                <w:lang w:val="en-US"/>
              </w:rPr>
            </w:pPr>
            <w:r w:rsidRPr="00671A57">
              <w:rPr>
                <w:rFonts w:cs="Arial"/>
                <w:lang w:val="en-US"/>
              </w:rPr>
              <w:t>111-50-2</w:t>
            </w:r>
          </w:p>
        </w:tc>
        <w:tc>
          <w:tcPr>
            <w:tcW w:w="2101" w:type="dxa"/>
          </w:tcPr>
          <w:p w:rsidR="003754D2" w:rsidRPr="00671A57" w:rsidRDefault="003754D2" w:rsidP="00F4451D">
            <w:pPr>
              <w:spacing w:line="360" w:lineRule="auto"/>
              <w:rPr>
                <w:rFonts w:cs="Arial"/>
                <w:lang w:val="en-US"/>
              </w:rPr>
            </w:pPr>
            <w:r w:rsidRPr="00671A57">
              <w:rPr>
                <w:rFonts w:cs="Arial"/>
                <w:lang w:val="en-US"/>
              </w:rPr>
              <w:t>GHS05</w:t>
            </w:r>
          </w:p>
        </w:tc>
        <w:tc>
          <w:tcPr>
            <w:tcW w:w="1442" w:type="dxa"/>
          </w:tcPr>
          <w:p w:rsidR="003754D2" w:rsidRPr="00671A57" w:rsidRDefault="003754D2" w:rsidP="003754D2">
            <w:pPr>
              <w:spacing w:line="360" w:lineRule="auto"/>
              <w:rPr>
                <w:rFonts w:cs="Arial"/>
                <w:lang w:val="en-US"/>
              </w:rPr>
            </w:pPr>
            <w:r w:rsidRPr="00671A57">
              <w:rPr>
                <w:rFonts w:cs="Arial"/>
                <w:lang w:val="en-US"/>
              </w:rPr>
              <w:t>H314</w:t>
            </w:r>
          </w:p>
        </w:tc>
        <w:tc>
          <w:tcPr>
            <w:tcW w:w="2376" w:type="dxa"/>
          </w:tcPr>
          <w:p w:rsidR="003754D2" w:rsidRPr="00671A57" w:rsidRDefault="003754D2" w:rsidP="00F4451D">
            <w:pPr>
              <w:spacing w:line="360" w:lineRule="auto"/>
              <w:rPr>
                <w:rFonts w:cs="Arial"/>
                <w:lang w:val="en-US"/>
              </w:rPr>
            </w:pPr>
            <w:r w:rsidRPr="00671A57">
              <w:rPr>
                <w:rFonts w:cs="Arial"/>
                <w:lang w:val="en-US"/>
              </w:rPr>
              <w:t>P280-P305 + P351 + P338-P310</w:t>
            </w:r>
          </w:p>
        </w:tc>
      </w:tr>
      <w:tr w:rsidR="003754D2" w:rsidRPr="00671A57" w:rsidTr="00FB1FAD">
        <w:tc>
          <w:tcPr>
            <w:tcW w:w="1951" w:type="dxa"/>
          </w:tcPr>
          <w:p w:rsidR="003754D2" w:rsidRPr="00671A57" w:rsidRDefault="003754D2" w:rsidP="00F4451D">
            <w:pPr>
              <w:spacing w:line="360" w:lineRule="auto"/>
              <w:rPr>
                <w:rFonts w:cs="Arial"/>
                <w:lang w:val="en-US"/>
              </w:rPr>
            </w:pPr>
            <w:r w:rsidRPr="00671A57">
              <w:rPr>
                <w:rFonts w:cs="Arial"/>
                <w:lang w:val="en-US"/>
              </w:rPr>
              <w:t xml:space="preserve">Bisphenol A </w:t>
            </w:r>
            <w:proofErr w:type="spellStart"/>
            <w:r w:rsidRPr="00671A57">
              <w:rPr>
                <w:rFonts w:cs="Arial"/>
                <w:lang w:val="en-US"/>
              </w:rPr>
              <w:t>diglycidyl</w:t>
            </w:r>
            <w:proofErr w:type="spellEnd"/>
            <w:r w:rsidRPr="00671A57">
              <w:rPr>
                <w:rFonts w:cs="Arial"/>
                <w:lang w:val="en-US"/>
              </w:rPr>
              <w:t xml:space="preserve"> ether</w:t>
            </w:r>
          </w:p>
        </w:tc>
        <w:tc>
          <w:tcPr>
            <w:tcW w:w="1418" w:type="dxa"/>
          </w:tcPr>
          <w:p w:rsidR="003754D2" w:rsidRPr="00671A57" w:rsidRDefault="003754D2" w:rsidP="00F4451D">
            <w:pPr>
              <w:spacing w:line="360" w:lineRule="auto"/>
              <w:rPr>
                <w:rFonts w:cs="Arial"/>
                <w:lang w:val="en-US"/>
              </w:rPr>
            </w:pPr>
            <w:r w:rsidRPr="00671A57">
              <w:rPr>
                <w:rFonts w:cs="Arial"/>
                <w:lang w:val="en-US"/>
              </w:rPr>
              <w:t>1675-54-3</w:t>
            </w:r>
          </w:p>
        </w:tc>
        <w:tc>
          <w:tcPr>
            <w:tcW w:w="2101" w:type="dxa"/>
          </w:tcPr>
          <w:p w:rsidR="003754D2" w:rsidRPr="00671A57" w:rsidRDefault="003754D2" w:rsidP="00F4451D">
            <w:pPr>
              <w:spacing w:line="360" w:lineRule="auto"/>
              <w:rPr>
                <w:rFonts w:cs="Arial"/>
                <w:lang w:val="en-US"/>
              </w:rPr>
            </w:pPr>
            <w:r w:rsidRPr="00671A57">
              <w:rPr>
                <w:rFonts w:cs="Arial"/>
                <w:lang w:val="en-US"/>
              </w:rPr>
              <w:t>GHS07</w:t>
            </w:r>
          </w:p>
        </w:tc>
        <w:tc>
          <w:tcPr>
            <w:tcW w:w="1442" w:type="dxa"/>
          </w:tcPr>
          <w:p w:rsidR="003754D2" w:rsidRPr="00671A57" w:rsidRDefault="003754D2" w:rsidP="003754D2">
            <w:pPr>
              <w:spacing w:line="360" w:lineRule="auto"/>
              <w:rPr>
                <w:rFonts w:cs="Arial"/>
                <w:lang w:val="en-US"/>
              </w:rPr>
            </w:pPr>
            <w:r w:rsidRPr="00671A57">
              <w:rPr>
                <w:rFonts w:cs="Arial"/>
                <w:lang w:val="en-US"/>
              </w:rPr>
              <w:t>H315-H317-H319</w:t>
            </w:r>
          </w:p>
        </w:tc>
        <w:tc>
          <w:tcPr>
            <w:tcW w:w="2376" w:type="dxa"/>
          </w:tcPr>
          <w:p w:rsidR="003754D2" w:rsidRPr="00671A57" w:rsidRDefault="003754D2" w:rsidP="00F4451D">
            <w:pPr>
              <w:spacing w:line="360" w:lineRule="auto"/>
              <w:rPr>
                <w:rFonts w:cs="Arial"/>
                <w:lang w:val="en-US"/>
              </w:rPr>
            </w:pPr>
            <w:r w:rsidRPr="00671A57">
              <w:rPr>
                <w:rFonts w:cs="Arial"/>
              </w:rPr>
              <w:t>P280-P305 + P351 + P338</w:t>
            </w:r>
          </w:p>
        </w:tc>
      </w:tr>
      <w:tr w:rsidR="003754D2" w:rsidRPr="00B1390F" w:rsidTr="00FB1FAD">
        <w:tc>
          <w:tcPr>
            <w:tcW w:w="1951" w:type="dxa"/>
            <w:tcBorders>
              <w:bottom w:val="single" w:sz="4" w:space="0" w:color="auto"/>
            </w:tcBorders>
          </w:tcPr>
          <w:p w:rsidR="003754D2" w:rsidRPr="00671A57" w:rsidRDefault="003754D2" w:rsidP="00F4451D">
            <w:pPr>
              <w:spacing w:line="360" w:lineRule="auto"/>
              <w:rPr>
                <w:rFonts w:cs="Arial"/>
                <w:lang w:val="en-US"/>
              </w:rPr>
            </w:pPr>
            <w:r w:rsidRPr="00671A57">
              <w:rPr>
                <w:rFonts w:cs="Arial"/>
                <w:lang w:val="en-US"/>
              </w:rPr>
              <w:t xml:space="preserve">4,4'-methylene diphenyl </w:t>
            </w:r>
            <w:proofErr w:type="spellStart"/>
            <w:r w:rsidRPr="00671A57">
              <w:rPr>
                <w:rFonts w:cs="Arial"/>
                <w:lang w:val="en-US"/>
              </w:rPr>
              <w:t>diisocyanate</w:t>
            </w:r>
            <w:proofErr w:type="spellEnd"/>
          </w:p>
        </w:tc>
        <w:tc>
          <w:tcPr>
            <w:tcW w:w="1418" w:type="dxa"/>
            <w:tcBorders>
              <w:bottom w:val="single" w:sz="4" w:space="0" w:color="auto"/>
            </w:tcBorders>
          </w:tcPr>
          <w:p w:rsidR="003754D2" w:rsidRPr="00671A57" w:rsidRDefault="003754D2" w:rsidP="00F4451D">
            <w:pPr>
              <w:spacing w:line="360" w:lineRule="auto"/>
              <w:rPr>
                <w:rFonts w:cs="Arial"/>
                <w:lang w:val="en-US"/>
              </w:rPr>
            </w:pPr>
            <w:r w:rsidRPr="00671A57">
              <w:rPr>
                <w:rFonts w:cs="Arial"/>
              </w:rPr>
              <w:t>101-68-8</w:t>
            </w:r>
          </w:p>
        </w:tc>
        <w:tc>
          <w:tcPr>
            <w:tcW w:w="2101" w:type="dxa"/>
            <w:tcBorders>
              <w:bottom w:val="single" w:sz="4" w:space="0" w:color="auto"/>
            </w:tcBorders>
          </w:tcPr>
          <w:p w:rsidR="003754D2" w:rsidRPr="00671A57" w:rsidRDefault="003754D2" w:rsidP="00F4451D">
            <w:pPr>
              <w:spacing w:line="360" w:lineRule="auto"/>
              <w:rPr>
                <w:rFonts w:cs="Arial"/>
                <w:lang w:val="en-US"/>
              </w:rPr>
            </w:pPr>
            <w:r w:rsidRPr="00671A57">
              <w:rPr>
                <w:rFonts w:cs="Arial"/>
                <w:lang w:val="en-US"/>
              </w:rPr>
              <w:t>GHS07, GHS08</w:t>
            </w:r>
          </w:p>
        </w:tc>
        <w:tc>
          <w:tcPr>
            <w:tcW w:w="1442" w:type="dxa"/>
            <w:tcBorders>
              <w:bottom w:val="single" w:sz="4" w:space="0" w:color="auto"/>
            </w:tcBorders>
          </w:tcPr>
          <w:p w:rsidR="003754D2" w:rsidRPr="00671A57" w:rsidRDefault="003754D2" w:rsidP="003754D2">
            <w:pPr>
              <w:spacing w:line="360" w:lineRule="auto"/>
              <w:rPr>
                <w:rFonts w:cs="Arial"/>
                <w:lang w:val="en-US"/>
              </w:rPr>
            </w:pPr>
            <w:r w:rsidRPr="00671A57">
              <w:rPr>
                <w:rFonts w:cs="Arial"/>
                <w:lang w:val="en-US"/>
              </w:rPr>
              <w:t>H315-H317-H319-H332-H334-H335-H351-H373</w:t>
            </w:r>
          </w:p>
        </w:tc>
        <w:tc>
          <w:tcPr>
            <w:tcW w:w="2376" w:type="dxa"/>
            <w:tcBorders>
              <w:bottom w:val="single" w:sz="4" w:space="0" w:color="auto"/>
            </w:tcBorders>
          </w:tcPr>
          <w:p w:rsidR="003754D2" w:rsidRPr="00671A57" w:rsidRDefault="00FB1FAD" w:rsidP="00F4451D">
            <w:pPr>
              <w:spacing w:line="360" w:lineRule="auto"/>
              <w:rPr>
                <w:rFonts w:cs="Arial"/>
                <w:lang w:val="en-US"/>
              </w:rPr>
            </w:pPr>
            <w:r w:rsidRPr="00671A57">
              <w:rPr>
                <w:rFonts w:cs="Arial"/>
                <w:lang w:val="en-US"/>
              </w:rPr>
              <w:t>P260-P280-P284-P304 + P340-P305 + P351 + P338-P342 + P31</w:t>
            </w:r>
          </w:p>
        </w:tc>
      </w:tr>
    </w:tbl>
    <w:p w:rsidR="006603D1" w:rsidRPr="007E233A" w:rsidRDefault="00424109" w:rsidP="007E233A">
      <w:pPr>
        <w:pStyle w:val="berschrift1"/>
        <w:rPr>
          <w:lang w:val="en-US"/>
        </w:rPr>
      </w:pPr>
      <w:bookmarkStart w:id="10" w:name="_Toc490738017"/>
      <w:r w:rsidRPr="007E233A">
        <w:rPr>
          <w:lang w:val="en-US"/>
        </w:rPr>
        <w:lastRenderedPageBreak/>
        <w:t>3. The twelve principles of green chemistry as guideline for sustainable development in chemistry</w:t>
      </w:r>
      <w:bookmarkEnd w:id="10"/>
    </w:p>
    <w:p w:rsidR="006603D1" w:rsidRPr="007E233A" w:rsidRDefault="006603D1" w:rsidP="007E233A">
      <w:pPr>
        <w:pStyle w:val="berschrift2"/>
        <w:rPr>
          <w:lang w:val="en-US"/>
        </w:rPr>
      </w:pPr>
      <w:bookmarkStart w:id="11" w:name="_Toc490738018"/>
      <w:r w:rsidRPr="007E233A">
        <w:rPr>
          <w:lang w:val="en-US"/>
        </w:rPr>
        <w:t>3.1 Introduction of the green chemistry guidelines</w:t>
      </w:r>
      <w:bookmarkEnd w:id="11"/>
    </w:p>
    <w:p w:rsidR="002B39BC" w:rsidRPr="007E233A" w:rsidRDefault="00DE76F8" w:rsidP="001B6306">
      <w:pPr>
        <w:spacing w:after="480"/>
        <w:jc w:val="both"/>
        <w:rPr>
          <w:rFonts w:cs="Arial"/>
          <w:lang w:val="en-US"/>
        </w:rPr>
      </w:pPr>
      <w:r w:rsidRPr="007E233A">
        <w:rPr>
          <w:rFonts w:cs="Arial"/>
          <w:lang w:val="en-US"/>
        </w:rPr>
        <w:t xml:space="preserve">The twelve principles of green chemistry were first </w:t>
      </w:r>
      <w:r w:rsidR="00DC3050" w:rsidRPr="007E233A">
        <w:rPr>
          <w:rFonts w:cs="Arial"/>
          <w:lang w:val="en-US"/>
        </w:rPr>
        <w:t xml:space="preserve">published by Paul </w:t>
      </w:r>
      <w:proofErr w:type="spellStart"/>
      <w:r w:rsidR="00DC3050" w:rsidRPr="007E233A">
        <w:rPr>
          <w:rFonts w:cs="Arial"/>
          <w:lang w:val="en-US"/>
        </w:rPr>
        <w:t>Ana</w:t>
      </w:r>
      <w:r w:rsidR="00EA0133" w:rsidRPr="007E233A">
        <w:rPr>
          <w:rFonts w:cs="Arial"/>
          <w:lang w:val="en-US"/>
        </w:rPr>
        <w:t>s</w:t>
      </w:r>
      <w:r w:rsidR="00DC3050" w:rsidRPr="007E233A">
        <w:rPr>
          <w:rFonts w:cs="Arial"/>
          <w:lang w:val="en-US"/>
        </w:rPr>
        <w:t>tas</w:t>
      </w:r>
      <w:proofErr w:type="spellEnd"/>
      <w:r w:rsidR="00DC3050" w:rsidRPr="007E233A">
        <w:rPr>
          <w:rFonts w:cs="Arial"/>
          <w:lang w:val="en-US"/>
        </w:rPr>
        <w:t xml:space="preserve"> and John C. Warner to offer scientist a guideline for sustainable development from chemical and chemical engineering point of view.</w:t>
      </w:r>
      <w:r w:rsidR="00EA0133" w:rsidRPr="007E233A">
        <w:rPr>
          <w:rFonts w:cs="Arial"/>
          <w:lang w:val="en-US"/>
        </w:rPr>
        <w:fldChar w:fldCharType="begin" w:fldLock="1"/>
      </w:r>
      <w:r w:rsidR="00EA0133" w:rsidRPr="007E233A">
        <w:rPr>
          <w:rFonts w:cs="Arial"/>
          <w:lang w:val="en-US"/>
        </w:rPr>
        <w:instrText>ADDIN CSL_CITATION { "citationItems" : [ { "id" : "ITEM-1", "itemData" : { "ISBN" : "9780198506980", "author" : [ { "dropping-particle" : "", "family" : "Warner", "given" : "Paul Anastas; John", "non-dropping-particle" : "", "parse-names" : false, "suffix" : "" } ], "id" : "ITEM-1", "issued" : { "date-parts" : [ [ "2000" ] ] }, "publisher" : "Oxford University Press", "title" : "Green Chemistry: Theory and Practice", "type" : "book" }, "uris" : [ "http://www.mendeley.com/documents/?uuid=af74f23f-bdbc-4f7b-8ff8-d65d42205fc8" ] } ], "mendeley" : { "formattedCitation" : "&lt;sup&gt;1&lt;/sup&gt;", "plainTextFormattedCitation" : "1", "previouslyFormattedCitation" : "&lt;sup&gt;1&lt;/sup&gt;" }, "properties" : { "noteIndex" : 0 }, "schema" : "https://github.com/citation-style-language/schema/raw/master/csl-citation.json" }</w:instrText>
      </w:r>
      <w:r w:rsidR="00EA0133" w:rsidRPr="007E233A">
        <w:rPr>
          <w:rFonts w:cs="Arial"/>
          <w:lang w:val="en-US"/>
        </w:rPr>
        <w:fldChar w:fldCharType="separate"/>
      </w:r>
      <w:r w:rsidR="00EA0133" w:rsidRPr="007E233A">
        <w:rPr>
          <w:rFonts w:cs="Arial"/>
          <w:noProof/>
          <w:vertAlign w:val="superscript"/>
          <w:lang w:val="en-US"/>
        </w:rPr>
        <w:t>1</w:t>
      </w:r>
      <w:r w:rsidR="00EA0133" w:rsidRPr="007E233A">
        <w:rPr>
          <w:rFonts w:cs="Arial"/>
          <w:lang w:val="en-US"/>
        </w:rPr>
        <w:fldChar w:fldCharType="end"/>
      </w:r>
      <w:r w:rsidR="00DC3050" w:rsidRPr="007E233A">
        <w:rPr>
          <w:rFonts w:cs="Arial"/>
          <w:lang w:val="en-US"/>
        </w:rPr>
        <w:t xml:space="preserve"> The aim of the research in green chemistry or sustainable chemistry is the design of more environmental benign products, techniques and processes that support a </w:t>
      </w:r>
      <w:r w:rsidR="001B6306">
        <w:rPr>
          <w:rFonts w:cs="Arial"/>
          <w:lang w:val="en-US"/>
        </w:rPr>
        <w:t>sustainable development on</w:t>
      </w:r>
      <w:r w:rsidR="00DC3050" w:rsidRPr="007E233A">
        <w:rPr>
          <w:rFonts w:cs="Arial"/>
          <w:lang w:val="en-US"/>
        </w:rPr>
        <w:t xml:space="preserve"> ecologic, economic and social level</w:t>
      </w:r>
      <w:r w:rsidR="00314223">
        <w:rPr>
          <w:rFonts w:cs="Arial"/>
          <w:lang w:val="en-US"/>
        </w:rPr>
        <w:t>s</w:t>
      </w:r>
      <w:r w:rsidR="00DC3050" w:rsidRPr="007E233A">
        <w:rPr>
          <w:rFonts w:cs="Arial"/>
          <w:lang w:val="en-US"/>
        </w:rPr>
        <w:t xml:space="preserve">. The </w:t>
      </w:r>
      <w:r w:rsidR="00EA0133" w:rsidRPr="007E233A">
        <w:rPr>
          <w:rFonts w:cs="Arial"/>
          <w:lang w:val="en-US"/>
        </w:rPr>
        <w:t>twelve principles of green chemistry describe a variety of possibilities to</w:t>
      </w:r>
      <w:r w:rsidR="00DC3050" w:rsidRPr="007E233A">
        <w:rPr>
          <w:rFonts w:cs="Arial"/>
          <w:lang w:val="en-US"/>
        </w:rPr>
        <w:t xml:space="preserve"> </w:t>
      </w:r>
      <w:r w:rsidR="00EA0133" w:rsidRPr="007E233A">
        <w:rPr>
          <w:rFonts w:cs="Arial"/>
          <w:lang w:val="en-US"/>
        </w:rPr>
        <w:t xml:space="preserve">minimize </w:t>
      </w:r>
      <w:r w:rsidR="00DC3050" w:rsidRPr="007E233A">
        <w:rPr>
          <w:rFonts w:cs="Arial"/>
          <w:lang w:val="en-US"/>
        </w:rPr>
        <w:t>the amount of hazardous substances</w:t>
      </w:r>
      <w:r w:rsidR="00EA0133" w:rsidRPr="007E233A">
        <w:rPr>
          <w:rFonts w:cs="Arial"/>
          <w:lang w:val="en-US"/>
        </w:rPr>
        <w:t xml:space="preserve"> used, environmental pollution and </w:t>
      </w:r>
      <w:r w:rsidR="006603D1" w:rsidRPr="007E233A">
        <w:rPr>
          <w:rFonts w:cs="Arial"/>
          <w:lang w:val="en-US"/>
        </w:rPr>
        <w:t>consumption of finite resources in all stages of production and life circle of the obtained products.</w:t>
      </w:r>
      <w:r w:rsidR="00EA0133" w:rsidRPr="007E233A">
        <w:rPr>
          <w:rFonts w:cs="Arial"/>
          <w:lang w:val="en-US"/>
        </w:rPr>
        <w:fldChar w:fldCharType="begin" w:fldLock="1"/>
      </w:r>
      <w:r w:rsidR="00D44892" w:rsidRPr="007E233A">
        <w:rPr>
          <w:rFonts w:cs="Arial"/>
          <w:lang w:val="en-US"/>
        </w:rPr>
        <w:instrText>ADDIN CSL_CITATION { "citationItems" : [ { "id" : "ITEM-1", "itemData" : { "DOI" : "10.1126/science.297.5582.807", "ISSN" : "00368075", "author" : [ { "dropping-particle" : "", "family" : "Poliakoff", "given" : "Martyn", "non-dropping-particle" : "", "parse-names" : false, "suffix" : "" }, { "dropping-particle" : "", "family" : "Fitzpatrick", "given" : "J. Michael", "non-dropping-particle" : "", "parse-names" : false, "suffix" : "" }, { "dropping-particle" : "", "family" : "Farren", "given" : "Trevor R.", "non-dropping-particle" : "", "parse-names" : false, "suffix" : "" }, { "dropping-particle" : "", "family" : "Anastas", "given" : "Paul T.", "non-dropping-particle" : "", "parse-names" : false, "suffix" : "" } ], "container-title" : "Science", "id" : "ITEM-1", "issue" : "5582", "issued" : { "date-parts" : [ [ "2002", "8", "2" ] ] }, "page" : "807-810", "title" : "Green Chemistry: Science and Politics of Change", "type" : "article-journal", "volume" : "297" }, "uris" : [ "http://www.mendeley.com/documents/?uuid=c3e0b88d-fddc-4d17-a628-0d6edc7eb469" ] } ], "mendeley" : { "formattedCitation" : "&lt;sup&gt;2&lt;/sup&gt;", "plainTextFormattedCitation" : "2", "previouslyFormattedCitation" : "&lt;sup&gt;2&lt;/sup&gt;" }, "properties" : { "noteIndex" : 0 }, "schema" : "https://github.com/citation-style-language/schema/raw/master/csl-citation.json" }</w:instrText>
      </w:r>
      <w:r w:rsidR="00EA0133" w:rsidRPr="007E233A">
        <w:rPr>
          <w:rFonts w:cs="Arial"/>
          <w:lang w:val="en-US"/>
        </w:rPr>
        <w:fldChar w:fldCharType="separate"/>
      </w:r>
      <w:r w:rsidR="00EA0133" w:rsidRPr="007E233A">
        <w:rPr>
          <w:rFonts w:cs="Arial"/>
          <w:noProof/>
          <w:vertAlign w:val="superscript"/>
          <w:lang w:val="en-US"/>
        </w:rPr>
        <w:t>2</w:t>
      </w:r>
      <w:r w:rsidR="00EA0133" w:rsidRPr="007E233A">
        <w:rPr>
          <w:rFonts w:cs="Arial"/>
          <w:lang w:val="en-US"/>
        </w:rPr>
        <w:fldChar w:fldCharType="end"/>
      </w:r>
      <w:r w:rsidR="00DC3050" w:rsidRPr="007E233A">
        <w:rPr>
          <w:rFonts w:cs="Arial"/>
          <w:lang w:val="en-US"/>
        </w:rPr>
        <w:t xml:space="preserve"> </w:t>
      </w:r>
      <w:r w:rsidR="00DF1FDA" w:rsidRPr="007E233A">
        <w:rPr>
          <w:rFonts w:cs="Arial"/>
          <w:lang w:val="en-US"/>
        </w:rPr>
        <w:t>T</w:t>
      </w:r>
      <w:r w:rsidR="00765A12" w:rsidRPr="007E233A">
        <w:rPr>
          <w:rFonts w:cs="Arial"/>
          <w:lang w:val="en-US"/>
        </w:rPr>
        <w:t>he chemical industry is a driving force for the research and development of sustainable techniques and has a great impact on everyday life</w:t>
      </w:r>
      <w:r w:rsidR="00DF1FDA" w:rsidRPr="007E233A">
        <w:rPr>
          <w:rFonts w:cs="Arial"/>
          <w:lang w:val="en-US"/>
        </w:rPr>
        <w:t>. I</w:t>
      </w:r>
      <w:r w:rsidR="00765A12" w:rsidRPr="007E233A">
        <w:rPr>
          <w:rFonts w:cs="Arial"/>
          <w:lang w:val="en-US"/>
        </w:rPr>
        <w:t xml:space="preserve">t is </w:t>
      </w:r>
      <w:r w:rsidR="00DF1FDA" w:rsidRPr="007E233A">
        <w:rPr>
          <w:rFonts w:cs="Arial"/>
          <w:lang w:val="en-US"/>
        </w:rPr>
        <w:t xml:space="preserve">therefore </w:t>
      </w:r>
      <w:r w:rsidR="00765A12" w:rsidRPr="007E233A">
        <w:rPr>
          <w:rFonts w:cs="Arial"/>
          <w:lang w:val="en-US"/>
        </w:rPr>
        <w:t xml:space="preserve">of great importance to adopt </w:t>
      </w:r>
      <w:r w:rsidR="00DF1FDA" w:rsidRPr="007E233A">
        <w:rPr>
          <w:rFonts w:cs="Arial"/>
          <w:lang w:val="en-US"/>
        </w:rPr>
        <w:t>these principles</w:t>
      </w:r>
      <w:r w:rsidR="00765A12" w:rsidRPr="007E233A">
        <w:rPr>
          <w:rFonts w:cs="Arial"/>
          <w:lang w:val="en-US"/>
        </w:rPr>
        <w:t xml:space="preserve"> to the highest possible degree</w:t>
      </w:r>
      <w:r w:rsidR="00DF1FDA" w:rsidRPr="007E233A">
        <w:rPr>
          <w:rFonts w:cs="Arial"/>
          <w:lang w:val="en-US"/>
        </w:rPr>
        <w:t xml:space="preserve"> in chemical processing and engineering and t</w:t>
      </w:r>
      <w:r w:rsidR="0071424E" w:rsidRPr="007E233A">
        <w:rPr>
          <w:rFonts w:cs="Arial"/>
          <w:lang w:val="en-US"/>
        </w:rPr>
        <w:t xml:space="preserve">o </w:t>
      </w:r>
      <w:r w:rsidR="00DF1FDA" w:rsidRPr="007E233A">
        <w:rPr>
          <w:rFonts w:cs="Arial"/>
          <w:lang w:val="en-US"/>
        </w:rPr>
        <w:t xml:space="preserve">sensitize future generations for sustainable development. </w:t>
      </w:r>
      <w:r w:rsidR="00765A12" w:rsidRPr="007E233A">
        <w:rPr>
          <w:rFonts w:cs="Arial"/>
          <w:lang w:val="en-US"/>
        </w:rPr>
        <w:t xml:space="preserve"> </w:t>
      </w:r>
    </w:p>
    <w:p w:rsidR="00F50267" w:rsidRPr="007E233A" w:rsidRDefault="006603D1" w:rsidP="00E32943">
      <w:pPr>
        <w:jc w:val="both"/>
        <w:rPr>
          <w:rFonts w:cs="Arial"/>
          <w:lang w:val="en-US"/>
        </w:rPr>
      </w:pPr>
      <w:r w:rsidRPr="007E233A">
        <w:rPr>
          <w:rFonts w:cs="Arial"/>
          <w:lang w:val="en-US"/>
        </w:rPr>
        <w:t>The twelve principles of green chemistry are the following:</w:t>
      </w:r>
    </w:p>
    <w:p w:rsidR="004C70F7" w:rsidRPr="007E233A" w:rsidRDefault="00424109" w:rsidP="00E32943">
      <w:pPr>
        <w:jc w:val="both"/>
        <w:rPr>
          <w:rFonts w:cs="Arial"/>
          <w:lang w:val="en-US"/>
        </w:rPr>
      </w:pPr>
      <w:r w:rsidRPr="007E233A">
        <w:rPr>
          <w:rFonts w:cs="Arial"/>
          <w:lang w:val="en-US"/>
        </w:rPr>
        <w:t>1.</w:t>
      </w:r>
      <w:r w:rsidRPr="007E233A">
        <w:rPr>
          <w:rFonts w:cs="Arial"/>
          <w:i/>
          <w:lang w:val="en-US"/>
        </w:rPr>
        <w:t xml:space="preserve"> Prevention of waste:</w:t>
      </w:r>
      <w:r w:rsidRPr="007E233A">
        <w:rPr>
          <w:rFonts w:cs="Arial"/>
          <w:lang w:val="en-US"/>
        </w:rPr>
        <w:t xml:space="preserve"> Careful design of processes and reactions help</w:t>
      </w:r>
      <w:r w:rsidR="00314223">
        <w:rPr>
          <w:rFonts w:cs="Arial"/>
          <w:lang w:val="en-US"/>
        </w:rPr>
        <w:t>s</w:t>
      </w:r>
      <w:r w:rsidRPr="007E233A">
        <w:rPr>
          <w:rFonts w:cs="Arial"/>
          <w:lang w:val="en-US"/>
        </w:rPr>
        <w:t xml:space="preserve"> to prevent waste instead of post-treatment and cleaning up of waste.</w:t>
      </w:r>
    </w:p>
    <w:p w:rsidR="00424109" w:rsidRPr="007E233A" w:rsidRDefault="00424109" w:rsidP="00E32943">
      <w:pPr>
        <w:jc w:val="both"/>
        <w:rPr>
          <w:rFonts w:cs="Arial"/>
          <w:lang w:val="en-US"/>
        </w:rPr>
      </w:pPr>
      <w:r w:rsidRPr="007E233A">
        <w:rPr>
          <w:rFonts w:cs="Arial"/>
          <w:lang w:val="en-US"/>
        </w:rPr>
        <w:t>2.</w:t>
      </w:r>
      <w:r w:rsidRPr="007E233A">
        <w:rPr>
          <w:rFonts w:cs="Arial"/>
          <w:i/>
          <w:lang w:val="en-US"/>
        </w:rPr>
        <w:t xml:space="preserve"> Atom economy</w:t>
      </w:r>
      <w:r w:rsidRPr="007E233A">
        <w:rPr>
          <w:rFonts w:cs="Arial"/>
          <w:lang w:val="en-US"/>
        </w:rPr>
        <w:t>: Reactions should be designed to use the maximum of atoms from the educts incorporated in the final products to reduce the generation of side products.</w:t>
      </w:r>
    </w:p>
    <w:p w:rsidR="00424109" w:rsidRPr="007E233A" w:rsidRDefault="00424109" w:rsidP="00E32943">
      <w:pPr>
        <w:jc w:val="both"/>
        <w:rPr>
          <w:rFonts w:cs="Arial"/>
          <w:lang w:val="en-US"/>
        </w:rPr>
      </w:pPr>
      <w:r w:rsidRPr="007E233A">
        <w:rPr>
          <w:rFonts w:cs="Arial"/>
          <w:lang w:val="en-US"/>
        </w:rPr>
        <w:t>3.</w:t>
      </w:r>
      <w:r w:rsidRPr="007E233A">
        <w:rPr>
          <w:rFonts w:cs="Arial"/>
          <w:i/>
          <w:lang w:val="en-US"/>
        </w:rPr>
        <w:t xml:space="preserve"> Less Hazardous Chemical Synthesis</w:t>
      </w:r>
      <w:r w:rsidRPr="007E233A">
        <w:rPr>
          <w:rFonts w:cs="Arial"/>
          <w:lang w:val="en-US"/>
        </w:rPr>
        <w:t>: As far as possible chemical synthesis should avoid the usage of substances that are toxic to humans and the environment.</w:t>
      </w:r>
    </w:p>
    <w:p w:rsidR="00424109" w:rsidRPr="007E233A" w:rsidRDefault="00424109" w:rsidP="00E32943">
      <w:pPr>
        <w:jc w:val="both"/>
        <w:rPr>
          <w:rFonts w:cs="Arial"/>
          <w:lang w:val="en-US"/>
        </w:rPr>
      </w:pPr>
      <w:r w:rsidRPr="007E233A">
        <w:rPr>
          <w:rFonts w:cs="Arial"/>
          <w:lang w:val="en-US"/>
        </w:rPr>
        <w:t>4.</w:t>
      </w:r>
      <w:r w:rsidRPr="007E233A">
        <w:rPr>
          <w:rFonts w:cs="Arial"/>
          <w:i/>
          <w:lang w:val="en-US"/>
        </w:rPr>
        <w:t xml:space="preserve"> Design Safer Chemicals</w:t>
      </w:r>
      <w:r w:rsidRPr="007E233A">
        <w:rPr>
          <w:rFonts w:cs="Arial"/>
          <w:lang w:val="en-US"/>
        </w:rPr>
        <w:t>: All chemical products should be designed on minimizing the hazard potential while re</w:t>
      </w:r>
      <w:r w:rsidR="00314223">
        <w:rPr>
          <w:rFonts w:cs="Arial"/>
          <w:lang w:val="en-US"/>
        </w:rPr>
        <w:t>t</w:t>
      </w:r>
      <w:r w:rsidRPr="007E233A">
        <w:rPr>
          <w:rFonts w:cs="Arial"/>
          <w:lang w:val="en-US"/>
        </w:rPr>
        <w:t>aining their function.</w:t>
      </w:r>
    </w:p>
    <w:p w:rsidR="00424109" w:rsidRPr="007E233A" w:rsidRDefault="00424109" w:rsidP="00E32943">
      <w:pPr>
        <w:jc w:val="both"/>
        <w:rPr>
          <w:rFonts w:cs="Arial"/>
          <w:lang w:val="en-US"/>
        </w:rPr>
      </w:pPr>
      <w:r w:rsidRPr="007E233A">
        <w:rPr>
          <w:rFonts w:cs="Arial"/>
          <w:lang w:val="en-US"/>
        </w:rPr>
        <w:t>5.</w:t>
      </w:r>
      <w:r w:rsidRPr="007E233A">
        <w:rPr>
          <w:rFonts w:cs="Arial"/>
          <w:i/>
          <w:lang w:val="en-US"/>
        </w:rPr>
        <w:t xml:space="preserve"> Benign Solvents and </w:t>
      </w:r>
      <w:proofErr w:type="spellStart"/>
      <w:r w:rsidRPr="007E233A">
        <w:rPr>
          <w:rFonts w:cs="Arial"/>
          <w:i/>
          <w:lang w:val="en-US"/>
        </w:rPr>
        <w:t>Auxiliars</w:t>
      </w:r>
      <w:proofErr w:type="spellEnd"/>
      <w:r w:rsidRPr="007E233A">
        <w:rPr>
          <w:rFonts w:cs="Arial"/>
          <w:lang w:val="en-US"/>
        </w:rPr>
        <w:t xml:space="preserve">: </w:t>
      </w:r>
      <w:r w:rsidR="00E32943" w:rsidRPr="007E233A">
        <w:rPr>
          <w:rFonts w:cs="Arial"/>
          <w:lang w:val="en-US"/>
        </w:rPr>
        <w:t>The application of auxiliary chemicals like solvents, separation agents etc. should be avoided as far as possible. If this is not applicable the usage should be innocuous.</w:t>
      </w:r>
    </w:p>
    <w:p w:rsidR="00E32943" w:rsidRPr="007E233A" w:rsidRDefault="00E32943" w:rsidP="00E32943">
      <w:pPr>
        <w:jc w:val="both"/>
        <w:rPr>
          <w:rFonts w:cs="Arial"/>
          <w:lang w:val="en-US"/>
        </w:rPr>
      </w:pPr>
      <w:r w:rsidRPr="007E233A">
        <w:rPr>
          <w:rFonts w:cs="Arial"/>
          <w:lang w:val="en-US"/>
        </w:rPr>
        <w:t>6.</w:t>
      </w:r>
      <w:r w:rsidRPr="007E233A">
        <w:rPr>
          <w:rFonts w:cs="Arial"/>
          <w:i/>
          <w:lang w:val="en-US"/>
        </w:rPr>
        <w:t xml:space="preserve"> Design for Energy Efficiency</w:t>
      </w:r>
      <w:r w:rsidRPr="007E233A">
        <w:rPr>
          <w:rFonts w:cs="Arial"/>
          <w:lang w:val="en-US"/>
        </w:rPr>
        <w:t>: Energetic input into chemical reactions and processes should be minimized.</w:t>
      </w:r>
    </w:p>
    <w:p w:rsidR="00E32943" w:rsidRPr="007E233A" w:rsidRDefault="00E32943" w:rsidP="00E32943">
      <w:pPr>
        <w:jc w:val="both"/>
        <w:rPr>
          <w:rFonts w:cs="Arial"/>
          <w:lang w:val="en-US"/>
        </w:rPr>
      </w:pPr>
      <w:r w:rsidRPr="007E233A">
        <w:rPr>
          <w:rFonts w:cs="Arial"/>
          <w:lang w:val="en-US"/>
        </w:rPr>
        <w:t>7.</w:t>
      </w:r>
      <w:r w:rsidRPr="007E233A">
        <w:rPr>
          <w:rFonts w:cs="Arial"/>
          <w:i/>
          <w:lang w:val="en-US"/>
        </w:rPr>
        <w:t xml:space="preserve"> Use of Renewable Feedstocks</w:t>
      </w:r>
      <w:r w:rsidRPr="007E233A">
        <w:rPr>
          <w:rFonts w:cs="Arial"/>
          <w:lang w:val="en-US"/>
        </w:rPr>
        <w:t>: Raw materials and products made thereof should be from renewable feedstocks if practicable.</w:t>
      </w:r>
    </w:p>
    <w:p w:rsidR="00E32943" w:rsidRPr="007E233A" w:rsidRDefault="00E32943" w:rsidP="00E32943">
      <w:pPr>
        <w:jc w:val="both"/>
        <w:rPr>
          <w:rFonts w:cs="Arial"/>
          <w:lang w:val="en-US"/>
        </w:rPr>
      </w:pPr>
      <w:r w:rsidRPr="007E233A">
        <w:rPr>
          <w:rFonts w:cs="Arial"/>
          <w:lang w:val="en-US"/>
        </w:rPr>
        <w:t>8.</w:t>
      </w:r>
      <w:r w:rsidRPr="007E233A">
        <w:rPr>
          <w:rFonts w:cs="Arial"/>
          <w:i/>
          <w:lang w:val="en-US"/>
        </w:rPr>
        <w:t xml:space="preserve"> Reduce Derivatives</w:t>
      </w:r>
      <w:r w:rsidRPr="007E233A">
        <w:rPr>
          <w:rFonts w:cs="Arial"/>
          <w:lang w:val="en-US"/>
        </w:rPr>
        <w:t>: Derivatization should be avoided to reduce the amount of synthesis steps required and the generation of waste.</w:t>
      </w:r>
    </w:p>
    <w:p w:rsidR="00E32943" w:rsidRPr="007E233A" w:rsidRDefault="00E32943" w:rsidP="00E32943">
      <w:pPr>
        <w:jc w:val="both"/>
        <w:rPr>
          <w:rFonts w:cs="Arial"/>
          <w:lang w:val="en-US"/>
        </w:rPr>
      </w:pPr>
      <w:r w:rsidRPr="007E233A">
        <w:rPr>
          <w:rFonts w:cs="Arial"/>
          <w:lang w:val="en-US"/>
        </w:rPr>
        <w:t>9.</w:t>
      </w:r>
      <w:r w:rsidRPr="007E233A">
        <w:rPr>
          <w:rFonts w:cs="Arial"/>
          <w:i/>
          <w:lang w:val="en-US"/>
        </w:rPr>
        <w:t xml:space="preserve"> Catalysis</w:t>
      </w:r>
      <w:r w:rsidRPr="007E233A">
        <w:rPr>
          <w:rFonts w:cs="Arial"/>
          <w:lang w:val="en-US"/>
        </w:rPr>
        <w:t>: S</w:t>
      </w:r>
      <w:r w:rsidR="00135CAB" w:rsidRPr="007E233A">
        <w:rPr>
          <w:rFonts w:cs="Arial"/>
          <w:lang w:val="en-US"/>
        </w:rPr>
        <w:t>elective catalysts should be preferred instead of stoichiometric usage of chemicals to reduce further waste and energy input.</w:t>
      </w:r>
    </w:p>
    <w:p w:rsidR="00135CAB" w:rsidRPr="007E233A" w:rsidRDefault="00E32943" w:rsidP="00E32943">
      <w:pPr>
        <w:jc w:val="both"/>
        <w:rPr>
          <w:rFonts w:cs="Arial"/>
          <w:lang w:val="en-US"/>
        </w:rPr>
      </w:pPr>
      <w:r w:rsidRPr="007E233A">
        <w:rPr>
          <w:rFonts w:cs="Arial"/>
          <w:lang w:val="en-US"/>
        </w:rPr>
        <w:lastRenderedPageBreak/>
        <w:t>10.</w:t>
      </w:r>
      <w:r w:rsidRPr="007E233A">
        <w:rPr>
          <w:rFonts w:cs="Arial"/>
          <w:i/>
          <w:lang w:val="en-US"/>
        </w:rPr>
        <w:t xml:space="preserve"> Design for </w:t>
      </w:r>
      <w:r w:rsidR="00135CAB" w:rsidRPr="007E233A">
        <w:rPr>
          <w:rFonts w:cs="Arial"/>
          <w:i/>
          <w:lang w:val="en-US"/>
        </w:rPr>
        <w:t>degradation</w:t>
      </w:r>
      <w:r w:rsidRPr="007E233A">
        <w:rPr>
          <w:rFonts w:cs="Arial"/>
          <w:lang w:val="en-US"/>
        </w:rPr>
        <w:t xml:space="preserve">: </w:t>
      </w:r>
      <w:r w:rsidR="00135CAB" w:rsidRPr="007E233A">
        <w:rPr>
          <w:rFonts w:cs="Arial"/>
          <w:lang w:val="en-US"/>
        </w:rPr>
        <w:t xml:space="preserve">The design of chemical products should allow the breaking into innocuous, non-persistent substances at the end of their function  </w:t>
      </w:r>
    </w:p>
    <w:p w:rsidR="00E32943" w:rsidRPr="007E233A" w:rsidRDefault="00E32943" w:rsidP="00E32943">
      <w:pPr>
        <w:jc w:val="both"/>
        <w:rPr>
          <w:rFonts w:cs="Arial"/>
          <w:lang w:val="en-US"/>
        </w:rPr>
      </w:pPr>
      <w:r w:rsidRPr="007E233A">
        <w:rPr>
          <w:rFonts w:cs="Arial"/>
          <w:lang w:val="en-US"/>
        </w:rPr>
        <w:t>11.</w:t>
      </w:r>
      <w:r w:rsidRPr="007E233A">
        <w:rPr>
          <w:rFonts w:cs="Arial"/>
          <w:i/>
          <w:lang w:val="en-US"/>
        </w:rPr>
        <w:t xml:space="preserve"> </w:t>
      </w:r>
      <w:r w:rsidR="00135CAB" w:rsidRPr="007E233A">
        <w:rPr>
          <w:rFonts w:cs="Arial"/>
          <w:i/>
          <w:lang w:val="en-US"/>
        </w:rPr>
        <w:t>Real-time analysis for Pollution Prevention</w:t>
      </w:r>
      <w:r w:rsidRPr="007E233A">
        <w:rPr>
          <w:rFonts w:cs="Arial"/>
          <w:lang w:val="en-US"/>
        </w:rPr>
        <w:t xml:space="preserve">: </w:t>
      </w:r>
      <w:r w:rsidR="00135CAB" w:rsidRPr="007E233A">
        <w:rPr>
          <w:rFonts w:cs="Arial"/>
          <w:lang w:val="en-US"/>
        </w:rPr>
        <w:t>Analytical methods for real-time monitoring and control should be applied as they can prevent the generation of waste or hazardous chemicals</w:t>
      </w:r>
    </w:p>
    <w:p w:rsidR="00FD43F0" w:rsidRPr="004A6273" w:rsidRDefault="00E32943" w:rsidP="004A6273">
      <w:pPr>
        <w:spacing w:after="480"/>
        <w:jc w:val="both"/>
        <w:rPr>
          <w:rFonts w:cs="Arial"/>
          <w:lang w:val="en-US"/>
        </w:rPr>
      </w:pPr>
      <w:r w:rsidRPr="007E233A">
        <w:rPr>
          <w:rFonts w:cs="Arial"/>
          <w:lang w:val="en-US"/>
        </w:rPr>
        <w:t>12.</w:t>
      </w:r>
      <w:r w:rsidRPr="007E233A">
        <w:rPr>
          <w:rFonts w:cs="Arial"/>
          <w:i/>
          <w:lang w:val="en-US"/>
        </w:rPr>
        <w:t xml:space="preserve"> </w:t>
      </w:r>
      <w:r w:rsidR="00135CAB" w:rsidRPr="007E233A">
        <w:rPr>
          <w:rFonts w:cs="Arial"/>
          <w:i/>
          <w:lang w:val="en-US"/>
        </w:rPr>
        <w:t>Inherent Safer Chemistry</w:t>
      </w:r>
      <w:r w:rsidRPr="007E233A">
        <w:rPr>
          <w:rFonts w:cs="Arial"/>
          <w:lang w:val="en-US"/>
        </w:rPr>
        <w:t xml:space="preserve">: </w:t>
      </w:r>
      <w:r w:rsidR="00135CAB" w:rsidRPr="007E233A">
        <w:rPr>
          <w:rFonts w:cs="Arial"/>
          <w:lang w:val="en-US"/>
        </w:rPr>
        <w:t>Chemicals used should be chosen to minimize their danger potential and thereby the risk of accidents, explosions and releases.</w:t>
      </w:r>
    </w:p>
    <w:p w:rsidR="006603D1" w:rsidRPr="007E233A" w:rsidRDefault="006603D1" w:rsidP="007E233A">
      <w:pPr>
        <w:pStyle w:val="berschrift2"/>
        <w:rPr>
          <w:lang w:val="en-US"/>
        </w:rPr>
      </w:pPr>
      <w:bookmarkStart w:id="12" w:name="_Toc490738019"/>
      <w:r w:rsidRPr="007E233A">
        <w:rPr>
          <w:lang w:val="en-US"/>
        </w:rPr>
        <w:t>3.2 Evaluation of the experiments in the context of green chemistry</w:t>
      </w:r>
      <w:bookmarkEnd w:id="12"/>
    </w:p>
    <w:p w:rsidR="00765A12" w:rsidRPr="007E233A" w:rsidRDefault="00765A12" w:rsidP="004A6273">
      <w:pPr>
        <w:spacing w:after="480"/>
        <w:jc w:val="both"/>
        <w:rPr>
          <w:rFonts w:cs="Arial"/>
          <w:lang w:val="en-US"/>
        </w:rPr>
      </w:pPr>
      <w:r w:rsidRPr="007E233A">
        <w:rPr>
          <w:rFonts w:cs="Arial"/>
          <w:lang w:val="en-US"/>
        </w:rPr>
        <w:t xml:space="preserve">In order to show the great potential of ILs for the pretreatment and processing of biomass it is helpful to evaluate the knowledge gained from the experiments as described in the main part in the context of a </w:t>
      </w:r>
      <w:r w:rsidR="00FD43F0" w:rsidRPr="007E233A">
        <w:rPr>
          <w:rFonts w:cs="Arial"/>
          <w:lang w:val="en-US"/>
        </w:rPr>
        <w:t>sustainable</w:t>
      </w:r>
      <w:r w:rsidRPr="007E233A">
        <w:rPr>
          <w:rFonts w:cs="Arial"/>
          <w:lang w:val="en-US"/>
        </w:rPr>
        <w:t xml:space="preserve"> chemistry and </w:t>
      </w:r>
      <w:r w:rsidR="00FD43F0" w:rsidRPr="007E233A">
        <w:rPr>
          <w:rFonts w:cs="Arial"/>
          <w:lang w:val="en-US"/>
        </w:rPr>
        <w:t>development</w:t>
      </w:r>
      <w:r w:rsidRPr="007E233A">
        <w:rPr>
          <w:rFonts w:cs="Arial"/>
          <w:lang w:val="en-US"/>
        </w:rPr>
        <w:t>. Therefore the benefits of the IL usage</w:t>
      </w:r>
      <w:r w:rsidR="00FD43F0" w:rsidRPr="007E233A">
        <w:rPr>
          <w:rFonts w:cs="Arial"/>
          <w:lang w:val="en-US"/>
        </w:rPr>
        <w:t xml:space="preserve"> in biomass pretreatment, processing </w:t>
      </w:r>
      <w:r w:rsidRPr="007E233A">
        <w:rPr>
          <w:rFonts w:cs="Arial"/>
          <w:lang w:val="en-US"/>
        </w:rPr>
        <w:t>and the obtained lignin-based polymers are discussed according to the twelve principles of green chemistry</w:t>
      </w:r>
      <w:r w:rsidR="00FD43F0" w:rsidRPr="007E233A">
        <w:rPr>
          <w:rFonts w:cs="Arial"/>
          <w:lang w:val="en-US"/>
        </w:rPr>
        <w:t xml:space="preserve"> in comparison with the currently applied industrial technologies. </w:t>
      </w:r>
      <w:r w:rsidR="004A6273">
        <w:rPr>
          <w:rFonts w:cs="Arial"/>
          <w:lang w:val="en-US"/>
        </w:rPr>
        <w:t xml:space="preserve"> </w:t>
      </w:r>
    </w:p>
    <w:p w:rsidR="006603D1" w:rsidRPr="007E233A" w:rsidRDefault="00831076" w:rsidP="007E233A">
      <w:pPr>
        <w:pStyle w:val="berschrift3"/>
        <w:rPr>
          <w:lang w:val="en-US"/>
        </w:rPr>
      </w:pPr>
      <w:bookmarkStart w:id="13" w:name="_Toc490738020"/>
      <w:r w:rsidRPr="007E233A">
        <w:rPr>
          <w:lang w:val="en-US"/>
        </w:rPr>
        <w:t>3.2.1</w:t>
      </w:r>
      <w:r w:rsidR="006603D1" w:rsidRPr="007E233A">
        <w:rPr>
          <w:lang w:val="en-US"/>
        </w:rPr>
        <w:t xml:space="preserve"> Biomass pretreatment using ionic liquids</w:t>
      </w:r>
      <w:bookmarkEnd w:id="13"/>
    </w:p>
    <w:p w:rsidR="00472ACF" w:rsidRPr="007E233A" w:rsidRDefault="00B76F8D" w:rsidP="00E32943">
      <w:pPr>
        <w:jc w:val="both"/>
        <w:rPr>
          <w:rFonts w:cs="Arial"/>
          <w:lang w:val="en-US"/>
        </w:rPr>
      </w:pPr>
      <w:r w:rsidRPr="007E233A">
        <w:rPr>
          <w:rFonts w:cs="Arial"/>
          <w:lang w:val="en-US"/>
        </w:rPr>
        <w:t xml:space="preserve">As biomass pretreatment to remove lignin and obtain cellulose is </w:t>
      </w:r>
      <w:r w:rsidR="00314223">
        <w:rPr>
          <w:rFonts w:cs="Arial"/>
          <w:lang w:val="en-US"/>
        </w:rPr>
        <w:t xml:space="preserve">in </w:t>
      </w:r>
      <w:r w:rsidRPr="007E233A">
        <w:rPr>
          <w:rFonts w:cs="Arial"/>
          <w:lang w:val="en-US"/>
        </w:rPr>
        <w:t xml:space="preserve">most </w:t>
      </w:r>
      <w:r w:rsidR="00314223">
        <w:rPr>
          <w:rFonts w:cs="Arial"/>
          <w:lang w:val="en-US"/>
        </w:rPr>
        <w:t>cases</w:t>
      </w:r>
      <w:r w:rsidR="00314223" w:rsidRPr="007E233A">
        <w:rPr>
          <w:rFonts w:cs="Arial"/>
          <w:lang w:val="en-US"/>
        </w:rPr>
        <w:t xml:space="preserve"> </w:t>
      </w:r>
      <w:r w:rsidRPr="007E233A">
        <w:rPr>
          <w:rFonts w:cs="Arial"/>
          <w:lang w:val="en-US"/>
        </w:rPr>
        <w:t>the first step in the usage of renewable sources</w:t>
      </w:r>
      <w:r w:rsidR="00314223">
        <w:rPr>
          <w:rFonts w:cs="Arial"/>
          <w:lang w:val="en-US"/>
        </w:rPr>
        <w:t xml:space="preserve"> and</w:t>
      </w:r>
      <w:r w:rsidRPr="007E233A">
        <w:rPr>
          <w:rFonts w:cs="Arial"/>
          <w:lang w:val="en-US"/>
        </w:rPr>
        <w:t xml:space="preserve"> is widely used in industry. Among the different technologies the </w:t>
      </w:r>
      <w:proofErr w:type="spellStart"/>
      <w:r w:rsidRPr="007E233A">
        <w:rPr>
          <w:rFonts w:cs="Arial"/>
          <w:lang w:val="en-US"/>
        </w:rPr>
        <w:t>kraft</w:t>
      </w:r>
      <w:proofErr w:type="spellEnd"/>
      <w:r w:rsidRPr="007E233A">
        <w:rPr>
          <w:rFonts w:cs="Arial"/>
          <w:lang w:val="en-US"/>
        </w:rPr>
        <w:t xml:space="preserve"> process for pulp milling is the most dominant covering about 85%</w:t>
      </w:r>
      <w:r w:rsidR="00F4451D" w:rsidRPr="007E233A">
        <w:rPr>
          <w:rFonts w:cs="Arial"/>
          <w:lang w:val="en-US"/>
        </w:rPr>
        <w:t xml:space="preserve"> of the worldwide lignin production</w:t>
      </w:r>
      <w:r w:rsidRPr="007E233A">
        <w:rPr>
          <w:rFonts w:cs="Arial"/>
          <w:lang w:val="en-US"/>
        </w:rPr>
        <w:t>.</w:t>
      </w:r>
      <w:r w:rsidR="00F4451D" w:rsidRPr="007E233A">
        <w:rPr>
          <w:rFonts w:cs="Arial"/>
          <w:lang w:val="en-US"/>
        </w:rPr>
        <w:fldChar w:fldCharType="begin" w:fldLock="1"/>
      </w:r>
      <w:r w:rsidR="00674EBA" w:rsidRPr="007E233A">
        <w:rPr>
          <w:rFonts w:cs="Arial"/>
          <w:lang w:val="en-US"/>
        </w:rPr>
        <w:instrText>ADDIN CSL_CITATION { "citationItems" : [ { "id" : "ITEM-1", "itemData" : { "DOI" : "10.1002/cssc.201600237", "ISBN" : "1864-564X", "ISSN" : "18645631", "PMID" : "27273230", "abstract" : "Currentprocessesfor the fractionation of lignocellulosicbio- mass focus on the production of high-quality cellulosic fibers for paper,board, andviscose production. The other fractions that constitute amajor part of lignocelluloseare treated as waste or used for energy production. The transformation of lignocellulose beyond paper pulp to acommodity (e.g.,fine chemicals, polymer precursors, and fuels) is the only feasible alternative to current refiningoffossil fuels as acarbon feed- stock. Inspired by this challenge, scientists and engineers have developed aplethora of methods for the valorization of bio- mass. However,most studies have focusedonusing one single purified component from lignocellulosethat is not currently generated by the existing biomass fractionation processes. A lot of effort has been made to develop efficient methods for lignin depolymerization. The step to take this fundamental re- search to industrial applications is still amajor challenge. This review covers an alternative approach, in which the lignin val- orizationisperformed in concert with the pulping process. This enables the fractionation of all components of the ligno- cellulosic biomass into valorizable streams. Lignocellulose frac- tions obtained this way (e.g.,lignin oil and glucose) can be uti- lized in anumber of existing procedures.The review covers historic, current, and future perspectives, with respect to cata- lytic lignocellulose fractionation processes. 1.", "author" : [ { "dropping-particle" : "V.", "family" : "Galkin", "given" : "Maxim", "non-dropping-particle" : "", "parse-names" : false, "suffix" : "" }, { "dropping-particle" : "", "family" : "Samec", "given" : "Joseph S M", "non-dropping-particle" : "", "parse-names" : false, "suffix" : "" } ], "container-title" : "ChemSusChem", "id" : "ITEM-1", "issue" : "13", "issued" : { "date-parts" : [ [ "2016", "7", "7" ] ] }, "page" : "1544-1558", "title" : "Lignin Valorization through Catalytic Lignocellulose Fractionation: A Fundamental Platform for the Future Biorefinery", "type" : "article-journal", "volume" : "9" }, "uris" : [ "http://www.mendeley.com/documents/?uuid=cef8b11b-c2ac-4e40-8a67-a834265e8d75" ] } ], "mendeley" : { "formattedCitation" : "&lt;sup&gt;3&lt;/sup&gt;", "plainTextFormattedCitation" : "3", "previouslyFormattedCitation" : "&lt;sup&gt;3&lt;/sup&gt;" }, "properties" : { "noteIndex" : 0 }, "schema" : "https://github.com/citation-style-language/schema/raw/master/csl-citation.json" }</w:instrText>
      </w:r>
      <w:r w:rsidR="00F4451D" w:rsidRPr="007E233A">
        <w:rPr>
          <w:rFonts w:cs="Arial"/>
          <w:lang w:val="en-US"/>
        </w:rPr>
        <w:fldChar w:fldCharType="separate"/>
      </w:r>
      <w:r w:rsidR="00F4451D" w:rsidRPr="007E233A">
        <w:rPr>
          <w:rFonts w:cs="Arial"/>
          <w:noProof/>
          <w:vertAlign w:val="superscript"/>
          <w:lang w:val="en-US"/>
        </w:rPr>
        <w:t>3</w:t>
      </w:r>
      <w:r w:rsidR="00F4451D" w:rsidRPr="007E233A">
        <w:rPr>
          <w:rFonts w:cs="Arial"/>
          <w:lang w:val="en-US"/>
        </w:rPr>
        <w:fldChar w:fldCharType="end"/>
      </w:r>
      <w:r w:rsidR="00F4451D" w:rsidRPr="007E233A">
        <w:rPr>
          <w:rFonts w:cs="Arial"/>
          <w:lang w:val="en-US"/>
        </w:rPr>
        <w:t xml:space="preserve"> As this process is highly energy consuming the lignin generated from the pulping is burnt as low grad fuel to cover the energy demands. The usage of ILs in the biomass pretreatment process (some of them are </w:t>
      </w:r>
      <w:r w:rsidR="004A6273" w:rsidRPr="007E233A">
        <w:rPr>
          <w:rFonts w:cs="Arial"/>
          <w:lang w:val="en-US"/>
        </w:rPr>
        <w:t>referred</w:t>
      </w:r>
      <w:r w:rsidR="00F4451D" w:rsidRPr="007E233A">
        <w:rPr>
          <w:rFonts w:cs="Arial"/>
          <w:lang w:val="en-US"/>
        </w:rPr>
        <w:t xml:space="preserve"> to as “Ionosolv”</w:t>
      </w:r>
      <w:r w:rsidR="00674EBA" w:rsidRPr="007E233A">
        <w:rPr>
          <w:rFonts w:cs="Arial"/>
          <w:lang w:val="en-US"/>
        </w:rPr>
        <w:fldChar w:fldCharType="begin" w:fldLock="1"/>
      </w:r>
      <w:r w:rsidR="00080925" w:rsidRPr="007E233A">
        <w:rPr>
          <w:rFonts w:cs="Arial"/>
          <w:lang w:val="en-US"/>
        </w:rPr>
        <w:instrText>ADDIN CSL_CITATION { "citationItems" : [ { "id" : "ITEM-1", "itemData" : { "DOI" : "10.1039/C5GC01314C", "ISSN" : "1463-9262", "abstract" : "Recently, acidic ionic liquid water mixtures based on the hydrogen sulfate anion have been shown to effectively extract lignin from lignocellulosic biomass. This study analyses Miscanthus giganteus lignin isolated after extraction with the protic ionic liquid 1-butylimidazolium hydrogen sulfate ([HC4im][HSO4]) followed by precipitation with the antisolvent water. Several analytical techniques were employed, such as quantitative 13C-NMR, 1H\u201313C HSQC NMR, 31P-NMR, Py-GC-MS, GPC and elemental analysis. The analysis shows that the ionic liquid pretreatment breaks lignin-hemicellulose linkages and depolymerizes the lignin through the cleavage of glycosidic, ester and \u03b2-O-4 ether bonds. This is accompanied by solubilization of the newly generated lignin fragments. At longer pretreatment times, repolymerization of lignin fragments through condensation reactions occurs. The isolated lignins were carbohydrate-free, had low sulfur contents, low molecular weights. Early stage lignins were structurally similar to ball-milled lignin, while more treated lignins were enriched in p-hydroxyphenyl and guaiacyl units and had a high phenolic hydroxyl group content. We conclude that, depending on the treatment conditions, lignins with a variety of characteristics can be isolated using this type of ionic liquid solution.", "author" : [ { "dropping-particle" : "", "family" : "Brandt", "given" : "Agnieszka", "non-dropping-particle" : "", "parse-names" : false, "suffix" : "" }, { "dropping-particle" : "", "family" : "Chen", "given" : "Long", "non-dropping-particle" : "", "parse-names" : false, "suffix" : "" }, { "dropping-particle" : "", "family" : "Dongen", "given" : "Bart E.", "non-dropping-particle" : "van", "parse-names" : false, "suffix" : "" }, { "dropping-particle" : "", "family" : "Welton", "given" : "Tom", "non-dropping-particle" : "", "parse-names" : false, "suffix" : "" }, { "dropping-particle" : "", "family" : "Hallett", "given" : "Jason P.", "non-dropping-particle" : "", "parse-names" : false, "suffix" : "" } ], "container-title" : "Green Chem.", "id" : "ITEM-1", "issue" : "11", "issued" : { "date-parts" : [ [ "2015" ] ] }, "page" : "5019-5034", "publisher" : "Royal Society of Chemistry", "title" : "Structural changes in lignins isolated using an acidic ionic liquid water mixture", "type" : "article-journal", "volume" : "17" }, "uris" : [ "http://www.mendeley.com/documents/?uuid=05cf27a4-56b9-40aa-9b7b-20f0ad2046ed" ] } ], "mendeley" : { "formattedCitation" : "&lt;sup&gt;4&lt;/sup&gt;", "plainTextFormattedCitation" : "4", "previouslyFormattedCitation" : "&lt;sup&gt;4&lt;/sup&gt;" }, "properties" : { "noteIndex" : 0 }, "schema" : "https://github.com/citation-style-language/schema/raw/master/csl-citation.json" }</w:instrText>
      </w:r>
      <w:r w:rsidR="00674EBA" w:rsidRPr="007E233A">
        <w:rPr>
          <w:rFonts w:cs="Arial"/>
          <w:lang w:val="en-US"/>
        </w:rPr>
        <w:fldChar w:fldCharType="separate"/>
      </w:r>
      <w:r w:rsidR="00674EBA" w:rsidRPr="007E233A">
        <w:rPr>
          <w:rFonts w:cs="Arial"/>
          <w:noProof/>
          <w:vertAlign w:val="superscript"/>
          <w:lang w:val="en-US"/>
        </w:rPr>
        <w:t>4</w:t>
      </w:r>
      <w:r w:rsidR="00674EBA" w:rsidRPr="007E233A">
        <w:rPr>
          <w:rFonts w:cs="Arial"/>
          <w:lang w:val="en-US"/>
        </w:rPr>
        <w:fldChar w:fldCharType="end"/>
      </w:r>
      <w:r w:rsidR="00080925" w:rsidRPr="007E233A">
        <w:rPr>
          <w:rFonts w:cs="Arial"/>
          <w:vertAlign w:val="superscript"/>
          <w:lang w:val="en-US"/>
        </w:rPr>
        <w:t xml:space="preserve">, </w:t>
      </w:r>
      <w:r w:rsidR="00080925" w:rsidRPr="007E233A">
        <w:rPr>
          <w:rFonts w:cs="Arial"/>
          <w:lang w:val="en-US"/>
        </w:rPr>
        <w:fldChar w:fldCharType="begin" w:fldLock="1"/>
      </w:r>
      <w:r w:rsidR="00B60EDC" w:rsidRPr="007E233A">
        <w:rPr>
          <w:rFonts w:cs="Arial"/>
          <w:lang w:val="en-US"/>
        </w:rPr>
        <w:instrText>ADDIN CSL_CITATION { "citationItems" : [ { "id" : "ITEM-1", "itemData" : { "DOI" : "10.1016/j.jclepro.2015.04.003", "ISBN" : "9788895608303", "ISSN" : "09596526", "abstract" : "The development of green techniques for biomass processing and fractionation is crucial from the point of view of sustainability and environmental protection. Lignin is the second most abundant bio-renewable material on Earth and ionic liquids are developed as green solvents because of their reutilization possibility and low vapour pressure. In this work, the recyclability of methylsulphate 1-butyl-3-methylimidazolium ionic liquid on the extraction of lignin from biomass was studied. The experimental results showed that the obtained lignins were similar until the third cycle and the extraction process showed good performances, whereas in the fourth cycle it appeared ionic liquid contamination on the lignin and the performance decreased dramatically.", "author" : [ { "dropping-particle" : "", "family" : "Prado", "given" : "Raquel", "non-dropping-particle" : "", "parse-names" : false, "suffix" : "" }, { "dropping-particle" : "", "family" : "Erdocia", "given" : "Xabier", "non-dropping-particle" : "", "parse-names" : false, "suffix" : "" }, { "dropping-particle" : "", "family" : "Labidi", "given" : "Jalel", "non-dropping-particle" : "", "parse-names" : false, "suffix" : "" } ], "container-title" : "Journal of Cleaner Production", "id" : "ITEM-1", "issued" : { "date-parts" : [ [ "2016", "1" ] ] }, "page" : "125-132", "publisher" : "Elsevier Ltd", "title" : "Study of the influence of reutilization ionic liquid on lignin extraction", "type" : "article-journal", "volume" : "111" }, "uris" : [ "http://www.mendeley.com/documents/?uuid=8723c789-691e-40f8-969c-de97cccb4476" ] } ], "mendeley" : { "formattedCitation" : "&lt;sup&gt;5&lt;/sup&gt;", "plainTextFormattedCitation" : "5", "previouslyFormattedCitation" : "&lt;sup&gt;5&lt;/sup&gt;" }, "properties" : { "noteIndex" : 0 }, "schema" : "https://github.com/citation-style-language/schema/raw/master/csl-citation.json" }</w:instrText>
      </w:r>
      <w:r w:rsidR="00080925" w:rsidRPr="007E233A">
        <w:rPr>
          <w:rFonts w:cs="Arial"/>
          <w:lang w:val="en-US"/>
        </w:rPr>
        <w:fldChar w:fldCharType="separate"/>
      </w:r>
      <w:r w:rsidR="00080925" w:rsidRPr="007E233A">
        <w:rPr>
          <w:rFonts w:cs="Arial"/>
          <w:noProof/>
          <w:vertAlign w:val="superscript"/>
          <w:lang w:val="en-US"/>
        </w:rPr>
        <w:t>5</w:t>
      </w:r>
      <w:r w:rsidR="00080925" w:rsidRPr="007E233A">
        <w:rPr>
          <w:rFonts w:cs="Arial"/>
          <w:lang w:val="en-US"/>
        </w:rPr>
        <w:fldChar w:fldCharType="end"/>
      </w:r>
      <w:r w:rsidR="00F4451D" w:rsidRPr="007E233A">
        <w:rPr>
          <w:rFonts w:cs="Arial"/>
          <w:lang w:val="en-US"/>
        </w:rPr>
        <w:t xml:space="preserve">)for a selective lignin removal could generate lignin of higher purity that better fits the need of material usage like the absence of sulfur in the </w:t>
      </w:r>
      <w:proofErr w:type="spellStart"/>
      <w:r w:rsidR="00F4451D" w:rsidRPr="007E233A">
        <w:rPr>
          <w:rFonts w:cs="Arial"/>
          <w:lang w:val="en-US"/>
        </w:rPr>
        <w:t>lignins</w:t>
      </w:r>
      <w:proofErr w:type="spellEnd"/>
      <w:r w:rsidR="00674EBA" w:rsidRPr="007E233A">
        <w:rPr>
          <w:rFonts w:cs="Arial"/>
          <w:lang w:val="en-US"/>
        </w:rPr>
        <w:t xml:space="preserve">. Material usage of lignin to value added products could include the </w:t>
      </w:r>
      <w:proofErr w:type="spellStart"/>
      <w:r w:rsidR="00674EBA" w:rsidRPr="007E233A">
        <w:rPr>
          <w:rFonts w:cs="Arial"/>
          <w:lang w:val="en-US"/>
        </w:rPr>
        <w:t>depolymerization</w:t>
      </w:r>
      <w:proofErr w:type="spellEnd"/>
      <w:r w:rsidR="00674EBA" w:rsidRPr="007E233A">
        <w:rPr>
          <w:rFonts w:cs="Arial"/>
          <w:lang w:val="en-US"/>
        </w:rPr>
        <w:t xml:space="preserve"> into functionalized low-molecular compounds or the generation of polymers as shown in the main part of the manuscript.</w:t>
      </w:r>
      <w:r w:rsidR="00B60EDC" w:rsidRPr="007E233A">
        <w:rPr>
          <w:rFonts w:cs="Arial"/>
          <w:lang w:val="en-US"/>
        </w:rPr>
        <w:fldChar w:fldCharType="begin" w:fldLock="1"/>
      </w:r>
      <w:r w:rsidR="00B60EDC" w:rsidRPr="007E233A">
        <w:rPr>
          <w:rFonts w:cs="Arial"/>
          <w:lang w:val="en-US"/>
        </w:rPr>
        <w:instrText>ADDIN CSL_CITATION { "citationItems" : [ { "id" : "ITEM-1", "itemData" : { "DOI" : "10.1002/anie.201510351", "ISBN" : "1521-3773", "ISSN" : "14337851", "PMID" : "27311348", "abstract" : "Lignin is an abundant biopolymer with a high carbon content and high aromaticity. Despite its potential as a raw material for the fuel and chemical industries, lignin remains the most poorly utilised of the lignocellulosic biopolymers. Effective valorisation of lignin requires careful fine-tuning of multiple \u201cupstream\u201d (i.e., lignin bioengineering, lignin isolation and \u201cearly-stage catalytic conversion of lignin\u201d) and \u201cdownstream\u201d (i.e., lignin depolymerisation and upgrading) process stages, demanding input and understanding from a broad array of scientific disciplines. This review provides a \u201cbeginning-to-end\u201d analysis of the recent advances reported in lignin valorisation. Particular emphasis is placed on the improved understanding of lignin's biosynthesis and structure, differences in structure and chemical bonding between native and technical lignins, emerging catalytic valorisation strategies, and the relationships between lignin structure and catalyst performance.", "author" : [ { "dropping-particle" : "", "family" : "Rinaldi", "given" : "Roberto", "non-dropping-particle" : "", "parse-names" : false, "suffix" : "" }, { "dropping-particle" : "", "family" : "Jastrzebski", "given" : "Robin", "non-dropping-particle" : "", "parse-names" : false, "suffix" : "" }, { "dropping-particle" : "", "family" : "Clough", "given" : "Matthew T.", "non-dropping-particle" : "", "parse-names" : false, "suffix" : "" }, { "dropping-particle" : "", "family" : "Ralph", "given" : "John", "non-dropping-particle" : "", "parse-names" : false, "suffix" : "" }, { "dropping-particle" : "", "family" : "Kennema", "given" : "Marco", "non-dropping-particle" : "", "parse-names" : false, "suffix" : "" }, { "dropping-particle" : "", "family" : "Bruijnincx", "given" : "Pieter C A", "non-dropping-particle" : "", "parse-names" : false, "suffix" : "" }, { "dropping-particle" : "", "family" : "Weckhuysen", "given" : "Bert M.", "non-dropping-particle" : "", "parse-names" : false, "suffix" : "" } ], "container-title" : "Angewandte Chemie International Edition", "id" : "ITEM-1", "issue" : "29", "issued" : { "date-parts" : [ [ "2016", "7", "11" ] ] }, "page" : "8164-8215", "title" : "Paving the Way for Lignin Valorisation: Recent Advances in Bioengineering, Biorefining and Catalysis", "type" : "article-journal", "volume" : "55" }, "uris" : [ "http://www.mendeley.com/documents/?uuid=4d3797fa-97de-445c-88ed-09d2e13ae916" ] } ], "mendeley" : { "formattedCitation" : "&lt;sup&gt;6&lt;/sup&gt;", "plainTextFormattedCitation" : "6", "previouslyFormattedCitation" : "&lt;sup&gt;6&lt;/sup&gt;" }, "properties" : { "noteIndex" : 0 }, "schema" : "https://github.com/citation-style-language/schema/raw/master/csl-citation.json" }</w:instrText>
      </w:r>
      <w:r w:rsidR="00B60EDC" w:rsidRPr="007E233A">
        <w:rPr>
          <w:rFonts w:cs="Arial"/>
          <w:lang w:val="en-US"/>
        </w:rPr>
        <w:fldChar w:fldCharType="separate"/>
      </w:r>
      <w:r w:rsidR="00B60EDC" w:rsidRPr="007E233A">
        <w:rPr>
          <w:rFonts w:cs="Arial"/>
          <w:noProof/>
          <w:vertAlign w:val="superscript"/>
          <w:lang w:val="en-US"/>
        </w:rPr>
        <w:t>6</w:t>
      </w:r>
      <w:r w:rsidR="00B60EDC" w:rsidRPr="007E233A">
        <w:rPr>
          <w:rFonts w:cs="Arial"/>
          <w:lang w:val="en-US"/>
        </w:rPr>
        <w:fldChar w:fldCharType="end"/>
      </w:r>
      <w:r w:rsidR="007F5E77" w:rsidRPr="007E233A">
        <w:rPr>
          <w:rFonts w:cs="Arial"/>
          <w:lang w:val="en-US"/>
        </w:rPr>
        <w:t xml:space="preserve"> </w:t>
      </w:r>
      <w:r w:rsidR="00E51D11" w:rsidRPr="007E233A">
        <w:rPr>
          <w:rFonts w:cs="Arial"/>
          <w:lang w:val="en-US"/>
        </w:rPr>
        <w:t>Some of the p</w:t>
      </w:r>
      <w:r w:rsidR="007F5E77" w:rsidRPr="007E233A">
        <w:rPr>
          <w:rFonts w:cs="Arial"/>
          <w:lang w:val="en-US"/>
        </w:rPr>
        <w:t xml:space="preserve">otential benefits by using IL as solvents </w:t>
      </w:r>
      <w:r w:rsidR="00E51D11" w:rsidRPr="007E233A">
        <w:rPr>
          <w:rFonts w:cs="Arial"/>
          <w:lang w:val="en-US"/>
        </w:rPr>
        <w:t xml:space="preserve">for biomass pretreatment compared to the </w:t>
      </w:r>
      <w:proofErr w:type="spellStart"/>
      <w:r w:rsidR="00E51D11" w:rsidRPr="007E233A">
        <w:rPr>
          <w:rFonts w:cs="Arial"/>
          <w:lang w:val="en-US"/>
        </w:rPr>
        <w:t>kraft</w:t>
      </w:r>
      <w:proofErr w:type="spellEnd"/>
      <w:r w:rsidR="00E51D11" w:rsidRPr="007E233A">
        <w:rPr>
          <w:rFonts w:cs="Arial"/>
          <w:lang w:val="en-US"/>
        </w:rPr>
        <w:t xml:space="preserve"> p</w:t>
      </w:r>
      <w:r w:rsidR="0004181F">
        <w:rPr>
          <w:rFonts w:cs="Arial"/>
          <w:lang w:val="en-US"/>
        </w:rPr>
        <w:t xml:space="preserve">rocess are summarized in </w:t>
      </w:r>
      <w:r w:rsidR="0004181F">
        <w:rPr>
          <w:rFonts w:cs="Arial"/>
          <w:lang w:val="en-US"/>
        </w:rPr>
        <w:fldChar w:fldCharType="begin"/>
      </w:r>
      <w:r w:rsidR="0004181F">
        <w:rPr>
          <w:rFonts w:cs="Arial"/>
          <w:lang w:val="en-US"/>
        </w:rPr>
        <w:instrText xml:space="preserve"> REF _Ref484769696 \h </w:instrText>
      </w:r>
      <w:r w:rsidR="0004181F">
        <w:rPr>
          <w:rFonts w:cs="Arial"/>
          <w:lang w:val="en-US"/>
        </w:rPr>
      </w:r>
      <w:r w:rsidR="0004181F">
        <w:rPr>
          <w:rFonts w:cs="Arial"/>
          <w:lang w:val="en-US"/>
        </w:rPr>
        <w:fldChar w:fldCharType="separate"/>
      </w:r>
      <w:r w:rsidR="0004181F" w:rsidRPr="003E0811">
        <w:rPr>
          <w:lang w:val="en-US"/>
        </w:rPr>
        <w:t xml:space="preserve">Table </w:t>
      </w:r>
      <w:r w:rsidR="0004181F">
        <w:rPr>
          <w:noProof/>
          <w:lang w:val="en-US"/>
        </w:rPr>
        <w:t>6</w:t>
      </w:r>
      <w:r w:rsidR="0004181F">
        <w:rPr>
          <w:rFonts w:cs="Arial"/>
          <w:lang w:val="en-US"/>
        </w:rPr>
        <w:fldChar w:fldCharType="end"/>
      </w:r>
      <w:r w:rsidR="00E51D11" w:rsidRPr="007E233A">
        <w:rPr>
          <w:rFonts w:cs="Arial"/>
          <w:lang w:val="en-US"/>
        </w:rPr>
        <w:t xml:space="preserve">. </w:t>
      </w:r>
    </w:p>
    <w:p w:rsidR="00472ACF" w:rsidRPr="007E233A" w:rsidRDefault="00472ACF">
      <w:pPr>
        <w:rPr>
          <w:rFonts w:cs="Arial"/>
          <w:lang w:val="en-US"/>
        </w:rPr>
      </w:pPr>
      <w:r w:rsidRPr="007E233A">
        <w:rPr>
          <w:rFonts w:cs="Arial"/>
          <w:lang w:val="en-US"/>
        </w:rPr>
        <w:br w:type="page"/>
      </w:r>
    </w:p>
    <w:p w:rsidR="006603D1" w:rsidRPr="003E0811" w:rsidRDefault="003E0811" w:rsidP="00A124C1">
      <w:pPr>
        <w:pStyle w:val="Beschriftung"/>
        <w:jc w:val="both"/>
        <w:rPr>
          <w:rFonts w:cs="Arial"/>
          <w:szCs w:val="22"/>
          <w:lang w:val="en-US"/>
        </w:rPr>
      </w:pPr>
      <w:bookmarkStart w:id="14" w:name="_Ref484769696"/>
      <w:r w:rsidRPr="003E0811">
        <w:rPr>
          <w:szCs w:val="22"/>
          <w:lang w:val="en-US"/>
        </w:rPr>
        <w:lastRenderedPageBreak/>
        <w:t xml:space="preserve">Table </w:t>
      </w:r>
      <w:r w:rsidRPr="003E0811">
        <w:rPr>
          <w:szCs w:val="22"/>
        </w:rPr>
        <w:fldChar w:fldCharType="begin"/>
      </w:r>
      <w:r w:rsidRPr="003E0811">
        <w:rPr>
          <w:szCs w:val="22"/>
          <w:lang w:val="en-US"/>
        </w:rPr>
        <w:instrText xml:space="preserve"> SEQ Table \* ARABIC </w:instrText>
      </w:r>
      <w:r w:rsidRPr="003E0811">
        <w:rPr>
          <w:szCs w:val="22"/>
        </w:rPr>
        <w:fldChar w:fldCharType="separate"/>
      </w:r>
      <w:r w:rsidR="00A758AE">
        <w:rPr>
          <w:noProof/>
          <w:szCs w:val="22"/>
          <w:lang w:val="en-US"/>
        </w:rPr>
        <w:t>6</w:t>
      </w:r>
      <w:r w:rsidRPr="003E0811">
        <w:rPr>
          <w:szCs w:val="22"/>
        </w:rPr>
        <w:fldChar w:fldCharType="end"/>
      </w:r>
      <w:bookmarkEnd w:id="14"/>
      <w:r w:rsidRPr="003E0811">
        <w:rPr>
          <w:szCs w:val="22"/>
          <w:lang w:val="en-US"/>
        </w:rPr>
        <w:t xml:space="preserve">. </w:t>
      </w:r>
      <w:r w:rsidR="001E7150" w:rsidRPr="003E0811">
        <w:rPr>
          <w:rFonts w:cs="Arial"/>
          <w:b w:val="0"/>
          <w:szCs w:val="22"/>
          <w:lang w:val="en-US"/>
        </w:rPr>
        <w:t xml:space="preserve">Fulfilment of the green chemistry principles of biomass pretreatment using ionic liquids in comparison </w:t>
      </w:r>
      <w:r w:rsidR="00472ACF" w:rsidRPr="003E0811">
        <w:rPr>
          <w:rFonts w:cs="Arial"/>
          <w:b w:val="0"/>
          <w:szCs w:val="22"/>
          <w:lang w:val="en-US"/>
        </w:rPr>
        <w:t xml:space="preserve">to </w:t>
      </w:r>
      <w:r w:rsidR="001E7150" w:rsidRPr="003E0811">
        <w:rPr>
          <w:rFonts w:cs="Arial"/>
          <w:b w:val="0"/>
          <w:szCs w:val="22"/>
          <w:lang w:val="en-US"/>
        </w:rPr>
        <w:t xml:space="preserve">the </w:t>
      </w:r>
      <w:proofErr w:type="spellStart"/>
      <w:r w:rsidR="001E7150" w:rsidRPr="003E0811">
        <w:rPr>
          <w:rFonts w:cs="Arial"/>
          <w:b w:val="0"/>
          <w:szCs w:val="22"/>
          <w:lang w:val="en-US"/>
        </w:rPr>
        <w:t>kraft</w:t>
      </w:r>
      <w:proofErr w:type="spellEnd"/>
      <w:r w:rsidR="001E7150" w:rsidRPr="003E0811">
        <w:rPr>
          <w:rFonts w:cs="Arial"/>
          <w:b w:val="0"/>
          <w:szCs w:val="22"/>
          <w:lang w:val="en-US"/>
        </w:rPr>
        <w:t xml:space="preserve"> process as dominating </w:t>
      </w:r>
      <w:r w:rsidRPr="003E0811">
        <w:rPr>
          <w:rFonts w:cs="Arial"/>
          <w:b w:val="0"/>
          <w:szCs w:val="22"/>
          <w:lang w:val="en-US"/>
        </w:rPr>
        <w:t>industrial</w:t>
      </w:r>
      <w:r w:rsidR="001E7150" w:rsidRPr="003E0811">
        <w:rPr>
          <w:rFonts w:cs="Arial"/>
          <w:b w:val="0"/>
          <w:szCs w:val="22"/>
          <w:lang w:val="en-US"/>
        </w:rPr>
        <w:t xml:space="preserve"> technique</w:t>
      </w:r>
      <w:r w:rsidRPr="003E0811">
        <w:rPr>
          <w:rFonts w:cs="Arial"/>
          <w:b w:val="0"/>
          <w:szCs w:val="22"/>
          <w:lang w:val="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835"/>
        <w:gridCol w:w="3002"/>
        <w:gridCol w:w="2917"/>
      </w:tblGrid>
      <w:tr w:rsidR="00661102" w:rsidRPr="003E0811" w:rsidTr="001E7150">
        <w:tc>
          <w:tcPr>
            <w:tcW w:w="534" w:type="dxa"/>
            <w:tcBorders>
              <w:top w:val="single" w:sz="4" w:space="0" w:color="auto"/>
              <w:bottom w:val="single" w:sz="12" w:space="0" w:color="auto"/>
            </w:tcBorders>
          </w:tcPr>
          <w:p w:rsidR="00661102" w:rsidRPr="003E0811" w:rsidRDefault="00661102" w:rsidP="005E099F">
            <w:pPr>
              <w:spacing w:line="360" w:lineRule="auto"/>
              <w:jc w:val="center"/>
              <w:rPr>
                <w:rFonts w:cs="Arial"/>
                <w:sz w:val="20"/>
                <w:szCs w:val="20"/>
                <w:lang w:val="en-US"/>
              </w:rPr>
            </w:pPr>
          </w:p>
        </w:tc>
        <w:tc>
          <w:tcPr>
            <w:tcW w:w="2835" w:type="dxa"/>
            <w:tcBorders>
              <w:top w:val="single" w:sz="4" w:space="0" w:color="auto"/>
              <w:bottom w:val="single" w:sz="12" w:space="0" w:color="auto"/>
            </w:tcBorders>
          </w:tcPr>
          <w:p w:rsidR="00661102" w:rsidRPr="003E0811" w:rsidRDefault="00661102" w:rsidP="00472ACF">
            <w:pPr>
              <w:spacing w:before="120" w:line="360" w:lineRule="auto"/>
              <w:jc w:val="center"/>
              <w:rPr>
                <w:rFonts w:cs="Arial"/>
                <w:sz w:val="20"/>
                <w:szCs w:val="20"/>
                <w:lang w:val="en-US"/>
              </w:rPr>
            </w:pPr>
            <w:r w:rsidRPr="003E0811">
              <w:rPr>
                <w:rFonts w:cs="Arial"/>
                <w:sz w:val="20"/>
                <w:szCs w:val="20"/>
                <w:lang w:val="en-US"/>
              </w:rPr>
              <w:t>Green Chemistry Principle</w:t>
            </w:r>
          </w:p>
        </w:tc>
        <w:tc>
          <w:tcPr>
            <w:tcW w:w="3002" w:type="dxa"/>
            <w:tcBorders>
              <w:top w:val="single" w:sz="4" w:space="0" w:color="auto"/>
              <w:bottom w:val="single" w:sz="12" w:space="0" w:color="auto"/>
            </w:tcBorders>
          </w:tcPr>
          <w:p w:rsidR="00661102" w:rsidRPr="003E0811" w:rsidRDefault="00661102" w:rsidP="00472ACF">
            <w:pPr>
              <w:spacing w:before="120" w:line="360" w:lineRule="auto"/>
              <w:jc w:val="center"/>
              <w:rPr>
                <w:rFonts w:cs="Arial"/>
                <w:sz w:val="20"/>
                <w:szCs w:val="20"/>
                <w:lang w:val="en-US"/>
              </w:rPr>
            </w:pPr>
            <w:r w:rsidRPr="003E0811">
              <w:rPr>
                <w:rFonts w:cs="Arial"/>
                <w:sz w:val="20"/>
                <w:szCs w:val="20"/>
                <w:lang w:val="en-US"/>
              </w:rPr>
              <w:t>Conventional method (</w:t>
            </w:r>
            <w:proofErr w:type="spellStart"/>
            <w:r w:rsidRPr="003E0811">
              <w:rPr>
                <w:rFonts w:cs="Arial"/>
                <w:sz w:val="20"/>
                <w:szCs w:val="20"/>
                <w:lang w:val="en-US"/>
              </w:rPr>
              <w:t>kraft</w:t>
            </w:r>
            <w:proofErr w:type="spellEnd"/>
            <w:r w:rsidRPr="003E0811">
              <w:rPr>
                <w:rFonts w:cs="Arial"/>
                <w:sz w:val="20"/>
                <w:szCs w:val="20"/>
                <w:lang w:val="en-US"/>
              </w:rPr>
              <w:t xml:space="preserve"> process as dominating industrial example)</w:t>
            </w:r>
          </w:p>
        </w:tc>
        <w:tc>
          <w:tcPr>
            <w:tcW w:w="2917" w:type="dxa"/>
            <w:tcBorders>
              <w:top w:val="single" w:sz="4" w:space="0" w:color="auto"/>
              <w:bottom w:val="single" w:sz="12" w:space="0" w:color="auto"/>
            </w:tcBorders>
          </w:tcPr>
          <w:p w:rsidR="00661102" w:rsidRPr="003E0811" w:rsidRDefault="00661102" w:rsidP="00472ACF">
            <w:pPr>
              <w:spacing w:before="120" w:line="360" w:lineRule="auto"/>
              <w:jc w:val="center"/>
              <w:rPr>
                <w:rFonts w:cs="Arial"/>
                <w:sz w:val="20"/>
                <w:szCs w:val="20"/>
                <w:lang w:val="en-US"/>
              </w:rPr>
            </w:pPr>
            <w:r w:rsidRPr="003E0811">
              <w:rPr>
                <w:rFonts w:cs="Arial"/>
                <w:sz w:val="20"/>
                <w:szCs w:val="20"/>
                <w:lang w:val="en-US"/>
              </w:rPr>
              <w:t>Pretreatment using ionic liquids</w:t>
            </w:r>
          </w:p>
        </w:tc>
      </w:tr>
      <w:tr w:rsidR="00F321E3" w:rsidRPr="00B1390F" w:rsidTr="001E7150">
        <w:tc>
          <w:tcPr>
            <w:tcW w:w="534" w:type="dxa"/>
            <w:tcBorders>
              <w:top w:val="single" w:sz="12" w:space="0" w:color="auto"/>
            </w:tcBorders>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1</w:t>
            </w:r>
          </w:p>
        </w:tc>
        <w:tc>
          <w:tcPr>
            <w:tcW w:w="2835" w:type="dxa"/>
            <w:tcBorders>
              <w:top w:val="single" w:sz="12" w:space="0" w:color="auto"/>
            </w:tcBorders>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Waste prevention</w:t>
            </w:r>
          </w:p>
        </w:tc>
        <w:tc>
          <w:tcPr>
            <w:tcW w:w="3002" w:type="dxa"/>
            <w:tcBorders>
              <w:top w:val="single" w:sz="12" w:space="0" w:color="auto"/>
            </w:tcBorders>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Several additional chemicals needed (e.g. sodium hydroxide, sodium sulfide, several byproducts), sulfur containing lignin of lower quality</w:t>
            </w:r>
          </w:p>
        </w:tc>
        <w:tc>
          <w:tcPr>
            <w:tcW w:w="2917" w:type="dxa"/>
            <w:tcBorders>
              <w:top w:val="single" w:sz="12" w:space="0" w:color="auto"/>
            </w:tcBorders>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 xml:space="preserve">No additional reagents needed as ILs have strong solvation ability for biomass, sulfur-free lignin </w:t>
            </w:r>
            <w:r w:rsidR="00A124C1">
              <w:rPr>
                <w:rFonts w:cs="Arial"/>
                <w:sz w:val="20"/>
                <w:szCs w:val="20"/>
                <w:lang w:val="en-US"/>
              </w:rPr>
              <w:t xml:space="preserve">can be obtained </w:t>
            </w:r>
            <w:r w:rsidRPr="003E0811">
              <w:rPr>
                <w:rFonts w:cs="Arial"/>
                <w:sz w:val="20"/>
                <w:szCs w:val="20"/>
                <w:lang w:val="en-US"/>
              </w:rPr>
              <w:t>for further material usage</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2</w:t>
            </w:r>
          </w:p>
        </w:tc>
        <w:tc>
          <w:tcPr>
            <w:tcW w:w="2835" w:type="dxa"/>
          </w:tcPr>
          <w:p w:rsidR="00F321E3" w:rsidRPr="003E0811" w:rsidRDefault="00F321E3" w:rsidP="003E0811">
            <w:pPr>
              <w:spacing w:before="120" w:line="276" w:lineRule="auto"/>
              <w:jc w:val="center"/>
              <w:rPr>
                <w:rFonts w:cs="Arial"/>
                <w:color w:val="000000" w:themeColor="text1"/>
                <w:sz w:val="20"/>
                <w:szCs w:val="20"/>
                <w:lang w:val="en-US"/>
              </w:rPr>
            </w:pPr>
            <w:r w:rsidRPr="003E0811">
              <w:rPr>
                <w:rFonts w:cs="Arial"/>
                <w:color w:val="000000" w:themeColor="text1"/>
                <w:sz w:val="20"/>
                <w:szCs w:val="20"/>
                <w:lang w:val="en-US"/>
              </w:rPr>
              <w:t>Atom economy</w:t>
            </w:r>
          </w:p>
        </w:tc>
        <w:tc>
          <w:tcPr>
            <w:tcW w:w="3002" w:type="dxa"/>
          </w:tcPr>
          <w:p w:rsidR="00F321E3" w:rsidRPr="003E0811" w:rsidRDefault="00F321E3" w:rsidP="00A124C1">
            <w:pPr>
              <w:spacing w:before="120" w:line="276" w:lineRule="auto"/>
              <w:jc w:val="center"/>
              <w:rPr>
                <w:rFonts w:cs="Arial"/>
                <w:sz w:val="20"/>
                <w:szCs w:val="20"/>
                <w:lang w:val="en-US"/>
              </w:rPr>
            </w:pPr>
            <w:r w:rsidRPr="003E0811">
              <w:rPr>
                <w:rFonts w:cs="Arial"/>
                <w:sz w:val="20"/>
                <w:szCs w:val="20"/>
                <w:lang w:val="en-US"/>
              </w:rPr>
              <w:t xml:space="preserve">Byproducts and incomplete workup, black liquor </w:t>
            </w:r>
            <w:r w:rsidR="00A124C1">
              <w:rPr>
                <w:rFonts w:cs="Arial"/>
                <w:sz w:val="20"/>
                <w:szCs w:val="20"/>
                <w:lang w:val="en-US"/>
              </w:rPr>
              <w:t xml:space="preserve">containing lignin </w:t>
            </w:r>
            <w:r w:rsidRPr="003E0811">
              <w:rPr>
                <w:rFonts w:cs="Arial"/>
                <w:sz w:val="20"/>
                <w:szCs w:val="20"/>
                <w:lang w:val="en-US"/>
              </w:rPr>
              <w:t xml:space="preserve">is </w:t>
            </w:r>
            <w:r w:rsidR="00A124C1">
              <w:rPr>
                <w:rFonts w:cs="Arial"/>
                <w:sz w:val="20"/>
                <w:szCs w:val="20"/>
                <w:lang w:val="en-US"/>
              </w:rPr>
              <w:t xml:space="preserve">usually </w:t>
            </w:r>
            <w:r w:rsidRPr="003E0811">
              <w:rPr>
                <w:rFonts w:cs="Arial"/>
                <w:sz w:val="20"/>
                <w:szCs w:val="20"/>
                <w:lang w:val="en-US"/>
              </w:rPr>
              <w:t>burnt</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In principle complete material usage of components and full recovery of solvent</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3</w:t>
            </w:r>
          </w:p>
        </w:tc>
        <w:tc>
          <w:tcPr>
            <w:tcW w:w="2835"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Less hazardous chemical syntheses</w:t>
            </w:r>
          </w:p>
        </w:tc>
        <w:tc>
          <w:tcPr>
            <w:tcW w:w="3002"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 xml:space="preserve">Malodorous harmful gases, toxic sodium sulfide, corrosive sodium </w:t>
            </w:r>
            <w:r w:rsidR="003E0811" w:rsidRPr="003E0811">
              <w:rPr>
                <w:rFonts w:cs="Arial"/>
                <w:sz w:val="20"/>
                <w:szCs w:val="20"/>
                <w:lang w:val="en-US"/>
              </w:rPr>
              <w:t>hydroxide</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 xml:space="preserve">ILs as stable, nonvolatile, non-inflammable solvents, </w:t>
            </w:r>
            <w:r w:rsidR="003E0811" w:rsidRPr="003E0811">
              <w:rPr>
                <w:rFonts w:cs="Arial"/>
                <w:sz w:val="20"/>
                <w:szCs w:val="20"/>
                <w:lang w:val="en-US"/>
              </w:rPr>
              <w:t>tunable</w:t>
            </w:r>
            <w:r w:rsidRPr="003E0811">
              <w:rPr>
                <w:rFonts w:cs="Arial"/>
                <w:sz w:val="20"/>
                <w:szCs w:val="20"/>
                <w:lang w:val="en-US"/>
              </w:rPr>
              <w:t xml:space="preserve"> towards non-toxicity</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4</w:t>
            </w:r>
          </w:p>
        </w:tc>
        <w:tc>
          <w:tcPr>
            <w:tcW w:w="2835"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Design safer chemicals</w:t>
            </w:r>
          </w:p>
        </w:tc>
        <w:tc>
          <w:tcPr>
            <w:tcW w:w="3002"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Intrinsically safer solvents, widely tailorable to reduce impact on organisms</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5</w:t>
            </w:r>
          </w:p>
        </w:tc>
        <w:tc>
          <w:tcPr>
            <w:tcW w:w="2835"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Safer solvents and auxiliaries</w:t>
            </w:r>
          </w:p>
        </w:tc>
        <w:tc>
          <w:tcPr>
            <w:tcW w:w="3002"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No potential harmful organic solvents used</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No potential harmful organic solvents used</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rPr>
            </w:pPr>
            <w:r w:rsidRPr="003E0811">
              <w:rPr>
                <w:rFonts w:cs="Arial"/>
                <w:sz w:val="20"/>
                <w:szCs w:val="20"/>
              </w:rPr>
              <w:t>6</w:t>
            </w:r>
          </w:p>
        </w:tc>
        <w:tc>
          <w:tcPr>
            <w:tcW w:w="2835"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Energy efficiency</w:t>
            </w:r>
          </w:p>
        </w:tc>
        <w:tc>
          <w:tcPr>
            <w:tcW w:w="3002"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Several hours at about 170°C and additional pressure application</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 xml:space="preserve">Several hours at </w:t>
            </w:r>
            <w:r w:rsidR="00314223">
              <w:rPr>
                <w:rFonts w:cs="Arial"/>
                <w:sz w:val="20"/>
                <w:szCs w:val="20"/>
                <w:lang w:val="en-US"/>
              </w:rPr>
              <w:t xml:space="preserve">slightly </w:t>
            </w:r>
            <w:r w:rsidRPr="003E0811">
              <w:rPr>
                <w:rFonts w:cs="Arial"/>
                <w:sz w:val="20"/>
                <w:szCs w:val="20"/>
                <w:lang w:val="en-US"/>
              </w:rPr>
              <w:t>elevated temperatures and ambient pressure</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rPr>
            </w:pPr>
            <w:r w:rsidRPr="003E0811">
              <w:rPr>
                <w:rFonts w:cs="Arial"/>
                <w:sz w:val="20"/>
                <w:szCs w:val="20"/>
              </w:rPr>
              <w:t>7</w:t>
            </w:r>
          </w:p>
        </w:tc>
        <w:tc>
          <w:tcPr>
            <w:tcW w:w="2835" w:type="dxa"/>
          </w:tcPr>
          <w:p w:rsidR="00F321E3" w:rsidRPr="003E0811" w:rsidRDefault="00F321E3" w:rsidP="003E0811">
            <w:pPr>
              <w:spacing w:before="120" w:line="276" w:lineRule="auto"/>
              <w:jc w:val="center"/>
              <w:rPr>
                <w:rFonts w:cs="Arial"/>
                <w:sz w:val="20"/>
                <w:szCs w:val="20"/>
              </w:rPr>
            </w:pPr>
            <w:r w:rsidRPr="003E0811">
              <w:rPr>
                <w:rFonts w:cs="Arial"/>
                <w:sz w:val="20"/>
                <w:szCs w:val="20"/>
                <w:lang w:val="en-US"/>
              </w:rPr>
              <w:t xml:space="preserve">Use of renewable </w:t>
            </w:r>
            <w:proofErr w:type="spellStart"/>
            <w:r w:rsidRPr="003E0811">
              <w:rPr>
                <w:rFonts w:cs="Arial"/>
                <w:sz w:val="20"/>
                <w:szCs w:val="20"/>
              </w:rPr>
              <w:t>feedstocks</w:t>
            </w:r>
            <w:proofErr w:type="spellEnd"/>
          </w:p>
        </w:tc>
        <w:tc>
          <w:tcPr>
            <w:tcW w:w="3002" w:type="dxa"/>
          </w:tcPr>
          <w:p w:rsidR="00F321E3" w:rsidRPr="003E0811" w:rsidRDefault="00F321E3" w:rsidP="003E0811">
            <w:pPr>
              <w:spacing w:before="120" w:line="276" w:lineRule="auto"/>
              <w:jc w:val="center"/>
              <w:rPr>
                <w:rFonts w:cs="Arial"/>
                <w:sz w:val="20"/>
                <w:szCs w:val="20"/>
              </w:rPr>
            </w:pPr>
            <w:proofErr w:type="spellStart"/>
            <w:r w:rsidRPr="003E0811">
              <w:rPr>
                <w:rFonts w:cs="Arial"/>
                <w:sz w:val="20"/>
                <w:szCs w:val="20"/>
              </w:rPr>
              <w:t>Usage</w:t>
            </w:r>
            <w:proofErr w:type="spellEnd"/>
            <w:r w:rsidRPr="003E0811">
              <w:rPr>
                <w:rFonts w:cs="Arial"/>
                <w:sz w:val="20"/>
                <w:szCs w:val="20"/>
              </w:rPr>
              <w:t xml:space="preserve"> </w:t>
            </w:r>
            <w:proofErr w:type="spellStart"/>
            <w:r w:rsidRPr="003E0811">
              <w:rPr>
                <w:rFonts w:cs="Arial"/>
                <w:sz w:val="20"/>
                <w:szCs w:val="20"/>
              </w:rPr>
              <w:t>of</w:t>
            </w:r>
            <w:proofErr w:type="spellEnd"/>
            <w:r w:rsidRPr="003E0811">
              <w:rPr>
                <w:rFonts w:cs="Arial"/>
                <w:sz w:val="20"/>
                <w:szCs w:val="20"/>
              </w:rPr>
              <w:t xml:space="preserve"> </w:t>
            </w:r>
            <w:proofErr w:type="spellStart"/>
            <w:r w:rsidRPr="003E0811">
              <w:rPr>
                <w:rFonts w:cs="Arial"/>
                <w:sz w:val="20"/>
                <w:szCs w:val="20"/>
              </w:rPr>
              <w:t>biomass</w:t>
            </w:r>
            <w:proofErr w:type="spellEnd"/>
            <w:r w:rsidRPr="003E0811">
              <w:rPr>
                <w:rFonts w:cs="Arial"/>
                <w:sz w:val="20"/>
                <w:szCs w:val="20"/>
              </w:rPr>
              <w:t xml:space="preserve"> (</w:t>
            </w:r>
            <w:proofErr w:type="spellStart"/>
            <w:r w:rsidRPr="003E0811">
              <w:rPr>
                <w:rFonts w:cs="Arial"/>
                <w:sz w:val="20"/>
                <w:szCs w:val="20"/>
              </w:rPr>
              <w:t>wood</w:t>
            </w:r>
            <w:proofErr w:type="spellEnd"/>
            <w:r w:rsidRPr="003E0811">
              <w:rPr>
                <w:rFonts w:cs="Arial"/>
                <w:sz w:val="20"/>
                <w:szCs w:val="20"/>
              </w:rPr>
              <w:t>)</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Usage of biomass, possibility of bio-</w:t>
            </w:r>
            <w:proofErr w:type="spellStart"/>
            <w:r w:rsidRPr="003E0811">
              <w:rPr>
                <w:rFonts w:cs="Arial"/>
                <w:sz w:val="20"/>
                <w:szCs w:val="20"/>
                <w:lang w:val="en-US"/>
              </w:rPr>
              <w:t>derivated</w:t>
            </w:r>
            <w:proofErr w:type="spellEnd"/>
            <w:r w:rsidRPr="003E0811">
              <w:rPr>
                <w:rFonts w:cs="Arial"/>
                <w:sz w:val="20"/>
                <w:szCs w:val="20"/>
                <w:lang w:val="en-US"/>
              </w:rPr>
              <w:t xml:space="preserve"> ILs demonstrated</w:t>
            </w:r>
            <w:r w:rsidRPr="003E0811">
              <w:rPr>
                <w:rFonts w:cs="Arial"/>
                <w:sz w:val="20"/>
                <w:szCs w:val="20"/>
                <w:lang w:val="en-US"/>
              </w:rPr>
              <w:fldChar w:fldCharType="begin" w:fldLock="1"/>
            </w:r>
            <w:r w:rsidRPr="003E0811">
              <w:rPr>
                <w:rFonts w:cs="Arial"/>
                <w:sz w:val="20"/>
                <w:szCs w:val="20"/>
                <w:lang w:val="en-US"/>
              </w:rPr>
              <w:instrText>ADDIN CSL_CITATION { "citationItems" : [ { "id" : "ITEM-1", "itemData" : { "DOI" : "10.1073/pnas.1405685111", "ISBN" : "0027-8424", "ISSN" : "0027-8424", "PMID" : "25136131", "abstract" : "Ionic liquids (ILs), solvents composed entirely of paired ions, have been used in a variety of process chemistry and renewable energy applications. Imidazolium-based ILs effectively dissolve biomass and represent a remarkable platform for biomass pretreatment. Although efficient, imidazolium cations are expensive and thus limited in their large-scale industrial deployment. To replace imidazolium-based ILs with those derived from renewable sources, we synthesized a series of tertiary amine-based ILs from aromatic aldehydes derived from lignin and hemicellulose, the major by-products of lignocellulosic biofuel production. Compositional analysis of switchgrass pretreated with ILs derived from vanillin, p-anisaldehyde, and furfural confirmed their efficacy. Enzymatic hydrolysis of pretreated switchgrass allowed for direct comparison of sugar yields and lignin removal between biomass-derived ILs and 1-ethyl-3-methylimidazolium acetate. Although the rate of cellulose hydrolysis for switchgrass pretreated with biomass-derived ILs was slightly slower than that of 1-ethyl-3-methylimidazolium acetate, 90-95% glucose and 70-75% xylose yields were obtained for these samples after 72-h incubation. Molecular modeling was used to compare IL solvent parameters with experimentally obtained compositional analysis data. Effective pretreatment of lignocellulose was further investigated by powder X-ray diffraction and glycome profiling of switchgrass cell walls. These studies showed different cellulose structural changes and differences in hemicellulose epitopes between switchgrass pretreatments with the aforementioned ILs. Our concept of deriving ILs from lignocellulosic biomass shows significant potential for the realization of a \"closed-loop\" process for future lignocellulosic biorefineries and has far-reaching economic impacts for other IL-based process technology currently using ILs synthesized from petroleum sources.", "author" : [ { "dropping-particle" : "", "family" : "Socha", "given" : "Aaron M", "non-dropping-particle" : "", "parse-names" : false, "suffix" : "" }, { "dropping-particle" : "", "family" : "Parthasarathi", "given" : "Ramakrishnan", "non-dropping-particle" : "", "parse-names" : false, "suffix" : "" }, { "dropping-particle" : "", "family" : "Shi", "given" : "Jian", "non-dropping-particle" : "", "parse-names" : false, "suffix" : "" }, { "dropping-particle" : "", "family" : "Pattathil", "given" : "Sivakumar", "non-dropping-particle" : "", "parse-names" : false, "suffix" : "" }, { "dropping-particle" : "", "family" : "Whyte", "given" : "Dorian", "non-dropping-particle" : "", "parse-names" : false, "suffix" : "" }, { "dropping-particle" : "", "family" : "Bergeron", "given" : "Maxime", "non-dropping-particle" : "", "parse-names" : false, "suffix" : "" }, { "dropping-particle" : "", "family" : "George", "given" : "Anthe", "non-dropping-particle" : "", "parse-names" : false, "suffix" : "" }, { "dropping-particle" : "", "family" : "Tran", "given" : "Kim", "non-dropping-particle" : "", "parse-names" : false, "suffix" : "" }, { "dropping-particle" : "", "family" : "Stavila", "given" : "Vitalie", "non-dropping-particle" : "", "parse-names" : false, "suffix" : "" }, { "dropping-particle" : "", "family" : "Venkatachalam", "given" : "Sivasankari", "non-dropping-particle" : "", "parse-names" : false, "suffix" : "" }, { "dropping-particle" : "", "family" : "Hahn", "given" : "Michael G", "non-dropping-particle" : "", "parse-names" : false, "suffix" : "" }, { "dropping-particle" : "", "family" : "Simmons", "given" : "Blake a", "non-dropping-particle" : "", "parse-names" : false, "suffix" : "" }, { "dropping-particle" : "", "family" : "Singh", "given" : "Seema", "non-dropping-particle" : "", "parse-names" : false, "suffix" : "" } ], "container-title" : "Proceedings of the National Academy of Sciences", "id" : "ITEM-1", "issue" : "35", "issued" : { "date-parts" : [ [ "2014", "9", "2" ] ] }, "page" : "E3587-E3595", "title" : "Efficient biomass pretreatment using ionic liquids derived from lignin and hemicellulose", "type" : "article-journal", "volume" : "111" }, "uris" : [ "http://www.mendeley.com/documents/?uuid=a5b82c3f-d9b3-47da-ae29-a851a1ce8675" ] } ], "mendeley" : { "formattedCitation" : "&lt;sup&gt;7&lt;/sup&gt;", "plainTextFormattedCitation" : "7", "previouslyFormattedCitation" : "&lt;sup&gt;7&lt;/sup&gt;" }, "properties" : { "noteIndex" : 0 }, "schema" : "https://github.com/citation-style-language/schema/raw/master/csl-citation.json" }</w:instrText>
            </w:r>
            <w:r w:rsidRPr="003E0811">
              <w:rPr>
                <w:rFonts w:cs="Arial"/>
                <w:sz w:val="20"/>
                <w:szCs w:val="20"/>
                <w:lang w:val="en-US"/>
              </w:rPr>
              <w:fldChar w:fldCharType="separate"/>
            </w:r>
            <w:r w:rsidRPr="003E0811">
              <w:rPr>
                <w:rFonts w:cs="Arial"/>
                <w:noProof/>
                <w:sz w:val="20"/>
                <w:szCs w:val="20"/>
                <w:vertAlign w:val="superscript"/>
                <w:lang w:val="en-US"/>
              </w:rPr>
              <w:t>7</w:t>
            </w:r>
            <w:r w:rsidRPr="003E0811">
              <w:rPr>
                <w:rFonts w:cs="Arial"/>
                <w:sz w:val="20"/>
                <w:szCs w:val="20"/>
                <w:lang w:val="en-US"/>
              </w:rPr>
              <w:fldChar w:fldCharType="end"/>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8</w:t>
            </w:r>
          </w:p>
        </w:tc>
        <w:tc>
          <w:tcPr>
            <w:tcW w:w="2835" w:type="dxa"/>
          </w:tcPr>
          <w:p w:rsidR="00F321E3" w:rsidRPr="003E0811" w:rsidRDefault="00F321E3" w:rsidP="00A124C1">
            <w:pPr>
              <w:tabs>
                <w:tab w:val="left" w:pos="1020"/>
              </w:tabs>
              <w:spacing w:before="120" w:line="276" w:lineRule="auto"/>
              <w:jc w:val="center"/>
              <w:rPr>
                <w:rFonts w:cs="Arial"/>
                <w:sz w:val="20"/>
                <w:szCs w:val="20"/>
                <w:lang w:val="en-US"/>
              </w:rPr>
            </w:pPr>
            <w:r w:rsidRPr="003E0811">
              <w:rPr>
                <w:rFonts w:cs="Arial"/>
                <w:sz w:val="20"/>
                <w:szCs w:val="20"/>
                <w:lang w:val="en-US"/>
              </w:rPr>
              <w:t xml:space="preserve">Reduce </w:t>
            </w:r>
            <w:r w:rsidR="00A124C1">
              <w:rPr>
                <w:rFonts w:cs="Arial"/>
                <w:sz w:val="20"/>
                <w:szCs w:val="20"/>
                <w:lang w:val="en-US"/>
              </w:rPr>
              <w:t>d</w:t>
            </w:r>
            <w:r w:rsidRPr="003E0811">
              <w:rPr>
                <w:rFonts w:cs="Arial"/>
                <w:sz w:val="20"/>
                <w:szCs w:val="20"/>
                <w:lang w:val="en-US"/>
              </w:rPr>
              <w:t>erivatives</w:t>
            </w:r>
          </w:p>
        </w:tc>
        <w:tc>
          <w:tcPr>
            <w:tcW w:w="3002"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No derivatization (no chemical transformation)</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No derivatization (no chemical transformation)</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9</w:t>
            </w:r>
          </w:p>
        </w:tc>
        <w:tc>
          <w:tcPr>
            <w:tcW w:w="2835"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Catalysis</w:t>
            </w:r>
          </w:p>
        </w:tc>
        <w:tc>
          <w:tcPr>
            <w:tcW w:w="3002"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Not applied (no chemical transformation)</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Not applied (no chemical transformation)</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10</w:t>
            </w:r>
          </w:p>
        </w:tc>
        <w:tc>
          <w:tcPr>
            <w:tcW w:w="2835"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Design for degradation</w:t>
            </w:r>
          </w:p>
        </w:tc>
        <w:tc>
          <w:tcPr>
            <w:tcW w:w="3002"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No biodegradation implied</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Biodegradable ILs are reported</w:t>
            </w:r>
          </w:p>
        </w:tc>
      </w:tr>
      <w:tr w:rsidR="00F321E3" w:rsidRPr="00B1390F" w:rsidTr="001E7150">
        <w:tc>
          <w:tcPr>
            <w:tcW w:w="534"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11</w:t>
            </w:r>
          </w:p>
        </w:tc>
        <w:tc>
          <w:tcPr>
            <w:tcW w:w="2835"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 xml:space="preserve">Real-time analysis for pollution </w:t>
            </w:r>
            <w:r w:rsidR="00831076" w:rsidRPr="003E0811">
              <w:rPr>
                <w:rFonts w:cs="Arial"/>
                <w:sz w:val="20"/>
                <w:szCs w:val="20"/>
                <w:lang w:val="en-US"/>
              </w:rPr>
              <w:t>p</w:t>
            </w:r>
            <w:r w:rsidRPr="003E0811">
              <w:rPr>
                <w:rFonts w:cs="Arial"/>
                <w:sz w:val="20"/>
                <w:szCs w:val="20"/>
                <w:lang w:val="en-US"/>
              </w:rPr>
              <w:t>revention</w:t>
            </w:r>
          </w:p>
        </w:tc>
        <w:tc>
          <w:tcPr>
            <w:tcW w:w="3002"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In principle applicable</w:t>
            </w:r>
          </w:p>
        </w:tc>
        <w:tc>
          <w:tcPr>
            <w:tcW w:w="2917" w:type="dxa"/>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In principle applicable</w:t>
            </w:r>
          </w:p>
        </w:tc>
      </w:tr>
      <w:tr w:rsidR="00F321E3" w:rsidRPr="00B1390F" w:rsidTr="001E7150">
        <w:tc>
          <w:tcPr>
            <w:tcW w:w="534" w:type="dxa"/>
            <w:tcBorders>
              <w:bottom w:val="single" w:sz="4" w:space="0" w:color="auto"/>
            </w:tcBorders>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12</w:t>
            </w:r>
          </w:p>
        </w:tc>
        <w:tc>
          <w:tcPr>
            <w:tcW w:w="2835" w:type="dxa"/>
            <w:tcBorders>
              <w:bottom w:val="single" w:sz="4" w:space="0" w:color="auto"/>
            </w:tcBorders>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Inherently safer chemistry for accident prevention</w:t>
            </w:r>
          </w:p>
        </w:tc>
        <w:tc>
          <w:tcPr>
            <w:tcW w:w="3002" w:type="dxa"/>
            <w:tcBorders>
              <w:bottom w:val="single" w:sz="4" w:space="0" w:color="auto"/>
            </w:tcBorders>
          </w:tcPr>
          <w:p w:rsidR="00F321E3" w:rsidRPr="003E0811" w:rsidRDefault="00F321E3" w:rsidP="003E0811">
            <w:pPr>
              <w:spacing w:before="120" w:line="276" w:lineRule="auto"/>
              <w:jc w:val="center"/>
              <w:rPr>
                <w:rFonts w:cs="Arial"/>
                <w:sz w:val="20"/>
                <w:szCs w:val="20"/>
                <w:lang w:val="en-US"/>
              </w:rPr>
            </w:pPr>
            <w:r w:rsidRPr="003E0811">
              <w:rPr>
                <w:rFonts w:cs="Arial"/>
                <w:sz w:val="20"/>
                <w:szCs w:val="20"/>
                <w:lang w:val="en-US"/>
              </w:rPr>
              <w:t>High temperature and pressure, toxic and corrosive chemicals pose treats</w:t>
            </w:r>
          </w:p>
        </w:tc>
        <w:tc>
          <w:tcPr>
            <w:tcW w:w="2917" w:type="dxa"/>
            <w:tcBorders>
              <w:bottom w:val="single" w:sz="4" w:space="0" w:color="auto"/>
            </w:tcBorders>
          </w:tcPr>
          <w:p w:rsidR="00F321E3" w:rsidRPr="003E0811" w:rsidRDefault="00F321E3" w:rsidP="00314223">
            <w:pPr>
              <w:spacing w:before="120" w:line="276" w:lineRule="auto"/>
              <w:jc w:val="center"/>
              <w:rPr>
                <w:rFonts w:cs="Arial"/>
                <w:sz w:val="20"/>
                <w:szCs w:val="20"/>
                <w:lang w:val="en-US"/>
              </w:rPr>
            </w:pPr>
            <w:r w:rsidRPr="003E0811">
              <w:rPr>
                <w:rFonts w:cs="Arial"/>
                <w:sz w:val="20"/>
                <w:szCs w:val="20"/>
                <w:lang w:val="en-US"/>
              </w:rPr>
              <w:t>Minimized hazard potential through processing at ambient pressure and less toxic, inflammable solvents</w:t>
            </w:r>
          </w:p>
        </w:tc>
      </w:tr>
    </w:tbl>
    <w:p w:rsidR="00472ACF" w:rsidRPr="003E0811" w:rsidRDefault="00472ACF" w:rsidP="007F5E77">
      <w:pPr>
        <w:jc w:val="both"/>
        <w:rPr>
          <w:rFonts w:cs="Arial"/>
          <w:lang w:val="en-US"/>
        </w:rPr>
      </w:pPr>
    </w:p>
    <w:p w:rsidR="007F5E77" w:rsidRPr="003E0811" w:rsidRDefault="00472ACF" w:rsidP="003E0811">
      <w:pPr>
        <w:pStyle w:val="berschrift3"/>
        <w:rPr>
          <w:lang w:val="en-US"/>
        </w:rPr>
      </w:pPr>
      <w:r w:rsidRPr="003E0811">
        <w:rPr>
          <w:lang w:val="en-US"/>
        </w:rPr>
        <w:br w:type="page"/>
      </w:r>
      <w:bookmarkStart w:id="15" w:name="_Toc490738021"/>
      <w:r w:rsidR="00831076" w:rsidRPr="003E0811">
        <w:rPr>
          <w:lang w:val="en-US"/>
        </w:rPr>
        <w:lastRenderedPageBreak/>
        <w:t>3.2.2</w:t>
      </w:r>
      <w:r w:rsidR="007F5E77" w:rsidRPr="003E0811">
        <w:rPr>
          <w:lang w:val="en-US"/>
        </w:rPr>
        <w:t xml:space="preserve"> Biomass processing using ionic liquids</w:t>
      </w:r>
      <w:bookmarkEnd w:id="15"/>
    </w:p>
    <w:p w:rsidR="00A20E3F" w:rsidRPr="003E0811" w:rsidRDefault="00E51D11" w:rsidP="00A124C1">
      <w:pPr>
        <w:spacing w:after="480"/>
        <w:jc w:val="both"/>
        <w:rPr>
          <w:rFonts w:cs="Arial"/>
          <w:lang w:val="en-US"/>
        </w:rPr>
      </w:pPr>
      <w:r w:rsidRPr="003E0811">
        <w:rPr>
          <w:rFonts w:cs="Arial"/>
          <w:lang w:val="en-US"/>
        </w:rPr>
        <w:t>The processing of biological polymers like cellulose and lignin is lacking practicable and environmental friendly solvents.</w:t>
      </w:r>
      <w:r w:rsidR="00B60EDC" w:rsidRPr="003E0811">
        <w:rPr>
          <w:rFonts w:cs="Arial"/>
          <w:lang w:val="en-US"/>
        </w:rPr>
        <w:t xml:space="preserve"> Especially the processing of cellulose traditionally via the </w:t>
      </w:r>
      <w:proofErr w:type="spellStart"/>
      <w:r w:rsidR="00B60EDC" w:rsidRPr="003E0811">
        <w:rPr>
          <w:rFonts w:cs="Arial"/>
          <w:lang w:val="en-US"/>
        </w:rPr>
        <w:t>cuprammonium</w:t>
      </w:r>
      <w:proofErr w:type="spellEnd"/>
      <w:r w:rsidR="00B60EDC" w:rsidRPr="003E0811">
        <w:rPr>
          <w:rFonts w:cs="Arial"/>
          <w:lang w:val="en-US"/>
        </w:rPr>
        <w:t xml:space="preserve"> or xanthate (viscose) process uses high amounts of additives that are toxic and hard to recycle.</w:t>
      </w:r>
      <w:r w:rsidR="00B60EDC" w:rsidRPr="003E0811">
        <w:rPr>
          <w:rFonts w:cs="Arial"/>
          <w:lang w:val="en-US"/>
        </w:rPr>
        <w:fldChar w:fldCharType="begin" w:fldLock="1"/>
      </w:r>
      <w:r w:rsidR="00B60EDC" w:rsidRPr="003E0811">
        <w:rPr>
          <w:rFonts w:cs="Arial"/>
          <w:lang w:val="en-US"/>
        </w:rPr>
        <w:instrText>ADDIN CSL_CITATION { "citationItems" : [ { "id" : "ITEM-1", "itemData" : { "DOI" : "10.1039/b601395c", "ISBN" : "1463-9262", "ISSN" : "1463-9262", "abstract" : "Dissolution of cellulose with ionic liquids allows the comprehensive utilization of cellulose by combining two major green chemistry principles: using environmentally preferable solvents and bio-renewable feed-stocks. In this paper, the dissolution of cellulose with ionic liquids and its application were reviewed. Cellulose can be dissolved, without derivation, in some hydrophilic ionic liquids, such as 1-butyl-3-methylimidazolium chloride (BMIMCl) and 1-allyl-3-methylimidazolium chloride (AMIMCl). Microwave heating significantly accelerates the dissolution process. Cellulose can be easily regenerated from its ionic liquid solutions by addition of water, ethanol or acetone. After its regeneration, the ionic liquids can be recovered and reused. Fractionation of lignocellulosic materials and preparation of cellulose derivatives and composites are two of its typical applications. Although some basic studies, such as economical syntheses of ionic liquids and studies of ionic liquid toxicology, are still much needed, commercialization of these processes has made great progress in recent years.", "author" : [ { "dropping-particle" : "", "family" : "Zhu", "given" : "Shengdong", "non-dropping-particle" : "", "parse-names" : false, "suffix" : "" }, { "dropping-particle" : "", "family" : "Wu", "given" : "Yuanxin", "non-dropping-particle" : "", "parse-names" : false, "suffix" : "" }, { "dropping-particle" : "", "family" : "Chen", "given" : "Qiming", "non-dropping-particle" : "", "parse-names" : false, "suffix" : "" }, { "dropping-particle" : "", "family" : "Yu", "given" : "Ziniu", "non-dropping-particle" : "", "parse-names" : false, "suffix" : "" }, { "dropping-particle" : "", "family" : "Wang", "given" : "Cunwen", "non-dropping-particle" : "", "parse-names" : false, "suffix" : "" }, { "dropping-particle" : "", "family" : "Jin", "given" : "Shiwei", "non-dropping-particle" : "", "parse-names" : false, "suffix" : "" }, { "dropping-particle" : "", "family" : "Ding", "given" : "Yigang", "non-dropping-particle" : "", "parse-names" : false, "suffix" : "" }, { "dropping-particle" : "", "family" : "Wu", "given" : "Gang", "non-dropping-particle" : "", "parse-names" : false, "suffix" : "" } ], "container-title" : "Green Chemistry", "id" : "ITEM-1", "issue" : "4", "issued" : { "date-parts" : [ [ "2006" ] ] }, "page" : "325", "title" : "Dissolution of cellulose with ionic liquids and its application: a mini-review", "type" : "article-journal", "volume" : "8" }, "uris" : [ "http://www.mendeley.com/documents/?uuid=a0b7ecdf-12c4-4ce2-8a6c-a9be5f27e343" ] } ], "mendeley" : { "formattedCitation" : "&lt;sup&gt;8&lt;/sup&gt;", "plainTextFormattedCitation" : "8", "previouslyFormattedCitation" : "&lt;sup&gt;8&lt;/sup&gt;" }, "properties" : { "noteIndex" : 0 }, "schema" : "https://github.com/citation-style-language/schema/raw/master/csl-citation.json" }</w:instrText>
      </w:r>
      <w:r w:rsidR="00B60EDC" w:rsidRPr="003E0811">
        <w:rPr>
          <w:rFonts w:cs="Arial"/>
          <w:lang w:val="en-US"/>
        </w:rPr>
        <w:fldChar w:fldCharType="separate"/>
      </w:r>
      <w:r w:rsidR="00B60EDC" w:rsidRPr="003E0811">
        <w:rPr>
          <w:rFonts w:cs="Arial"/>
          <w:noProof/>
          <w:vertAlign w:val="superscript"/>
          <w:lang w:val="en-US"/>
        </w:rPr>
        <w:t>8</w:t>
      </w:r>
      <w:r w:rsidR="00B60EDC" w:rsidRPr="003E0811">
        <w:rPr>
          <w:rFonts w:cs="Arial"/>
          <w:lang w:val="en-US"/>
        </w:rPr>
        <w:fldChar w:fldCharType="end"/>
      </w:r>
      <w:r w:rsidRPr="003E0811">
        <w:rPr>
          <w:rFonts w:cs="Arial"/>
          <w:lang w:val="en-US"/>
        </w:rPr>
        <w:t xml:space="preserve"> </w:t>
      </w:r>
      <w:r w:rsidR="00B60EDC" w:rsidRPr="003E0811">
        <w:rPr>
          <w:rFonts w:cs="Arial"/>
          <w:lang w:val="en-US"/>
        </w:rPr>
        <w:t>The viscose process is still the most often used industrial cellulose processing but lacks from extensive use of chemicals through the derivatization and regenerating process.</w:t>
      </w:r>
      <w:r w:rsidR="00B60EDC" w:rsidRPr="003E0811">
        <w:rPr>
          <w:rFonts w:cs="Arial"/>
          <w:lang w:val="en-US"/>
        </w:rPr>
        <w:fldChar w:fldCharType="begin" w:fldLock="1"/>
      </w:r>
      <w:r w:rsidR="00472ACF" w:rsidRPr="003E0811">
        <w:rPr>
          <w:rFonts w:cs="Arial"/>
          <w:lang w:val="en-US"/>
        </w:rPr>
        <w:instrText>ADDIN CSL_CITATION { "citationItems" : [ { "id" : "ITEM-1", "itemData" : { "DOI" : "10.1016/j.cej.2008.11.011", "ISBN" : "1385-8947", "ISSN" : "13858947", "PMID" : "15948229", "abstract" : "Recent studies on the application of room temperature ionic liquids (RTILs) in cellulose chemistry have made great progresses. This has been providing a new and versatile platform for the wide utilization of cellulose resources and creation of novel functional materials. In this paper, the research progress in the field of dissolution, regeneration and derivatization of cellulose with RTILs are reviewed. And the perspective of RTIL application in cellulose industry is also discussed. ?? 2008 Elsevier B.V. All rights reserved.", "author" : [ { "dropping-particle" : "", "family" : "Cao", "given" : "Yan", "non-dropping-particle" : "", "parse-names" : false, "suffix" : "" }, { "dropping-particle" : "", "family" : "Wu", "given" : "Jin", "non-dropping-particle" : "", "parse-names" : false, "suffix" : "" }, { "dropping-particle" : "", "family" : "Zhang", "given" : "Jun", "non-dropping-particle" : "", "parse-names" : false, "suffix" : "" }, { "dropping-particle" : "", "family" : "Li", "given" : "Huiquan", "non-dropping-particle" : "", "parse-names" : false, "suffix" : "" }, { "dropping-particle" : "", "family" : "Zhang", "given" : "Yi", "non-dropping-particle" : "", "parse-names" : false, "suffix" : "" }, { "dropping-particle" : "", "family" : "He", "given" : "Jiasong", "non-dropping-particle" : "", "parse-names" : false, "suffix" : "" } ], "container-title" : "Chemical Engineering Journal", "id" : "ITEM-1", "issue" : "1", "issued" : { "date-parts" : [ [ "2009", "4" ] ] }, "page" : "13-21", "title" : "Room temperature ionic liquids (RTILs): A new and versatile platform for cellulose processing and derivatization", "type" : "article-journal", "volume" : "147" }, "uris" : [ "http://www.mendeley.com/documents/?uuid=95075e47-cb5d-49b8-9a43-229365d48e8d" ] } ], "mendeley" : { "formattedCitation" : "&lt;sup&gt;9&lt;/sup&gt;", "plainTextFormattedCitation" : "9", "previouslyFormattedCitation" : "&lt;sup&gt;9&lt;/sup&gt;" }, "properties" : { "noteIndex" : 0 }, "schema" : "https://github.com/citation-style-language/schema/raw/master/csl-citation.json" }</w:instrText>
      </w:r>
      <w:r w:rsidR="00B60EDC" w:rsidRPr="003E0811">
        <w:rPr>
          <w:rFonts w:cs="Arial"/>
          <w:lang w:val="en-US"/>
        </w:rPr>
        <w:fldChar w:fldCharType="separate"/>
      </w:r>
      <w:r w:rsidR="00B60EDC" w:rsidRPr="003E0811">
        <w:rPr>
          <w:rFonts w:cs="Arial"/>
          <w:noProof/>
          <w:vertAlign w:val="superscript"/>
          <w:lang w:val="en-US"/>
        </w:rPr>
        <w:t>9</w:t>
      </w:r>
      <w:r w:rsidR="00B60EDC" w:rsidRPr="003E0811">
        <w:rPr>
          <w:rFonts w:cs="Arial"/>
          <w:lang w:val="en-US"/>
        </w:rPr>
        <w:fldChar w:fldCharType="end"/>
      </w:r>
      <w:r w:rsidR="00A20E3F" w:rsidRPr="003E0811">
        <w:rPr>
          <w:rFonts w:cs="Arial"/>
          <w:lang w:val="en-US"/>
        </w:rPr>
        <w:t xml:space="preserve"> The process converts the initial cellulose to alkali cellulose by treatment with aqueous </w:t>
      </w:r>
      <w:proofErr w:type="spellStart"/>
      <w:r w:rsidR="00A20E3F" w:rsidRPr="003E0811">
        <w:rPr>
          <w:rFonts w:cs="Arial"/>
          <w:lang w:val="en-US"/>
        </w:rPr>
        <w:t>NaOH</w:t>
      </w:r>
      <w:proofErr w:type="spellEnd"/>
      <w:r w:rsidR="00A20E3F" w:rsidRPr="003E0811">
        <w:rPr>
          <w:rFonts w:cs="Arial"/>
          <w:lang w:val="en-US"/>
        </w:rPr>
        <w:t xml:space="preserve"> followed by derivatization to the water soluble cellulose xanthate as sketched in figure 3.</w:t>
      </w:r>
      <w:r w:rsidR="000A4B70" w:rsidRPr="003E0811">
        <w:rPr>
          <w:rFonts w:cs="Arial"/>
          <w:lang w:val="en-US"/>
        </w:rPr>
        <w:t xml:space="preserve"> Cellulose processing using the xanthate demands large amounts of additives that are corrosive (sodium hydroxide, sulfuric acid) or volatile, toxic and highly inflammable (carbon disulfide). As some pure hydrophilic ILs show a high solution power for cellulose without the need for additional reagents and simple regeneration of the ionic solvent by separation upon water addition they offer a possible safer and environmentally friendlier option for this large scale application.</w:t>
      </w:r>
      <w:r w:rsidR="0004181F">
        <w:rPr>
          <w:rFonts w:cs="Arial"/>
          <w:lang w:val="en-US"/>
        </w:rPr>
        <w:t xml:space="preserve"> </w:t>
      </w:r>
      <w:r w:rsidR="0004181F">
        <w:rPr>
          <w:rFonts w:cs="Arial"/>
          <w:lang w:val="en-US"/>
        </w:rPr>
        <w:fldChar w:fldCharType="begin"/>
      </w:r>
      <w:r w:rsidR="0004181F">
        <w:rPr>
          <w:rFonts w:cs="Arial"/>
          <w:lang w:val="en-US"/>
        </w:rPr>
        <w:instrText xml:space="preserve"> REF _Ref484769700 \h </w:instrText>
      </w:r>
      <w:r w:rsidR="0004181F">
        <w:rPr>
          <w:rFonts w:cs="Arial"/>
          <w:lang w:val="en-US"/>
        </w:rPr>
      </w:r>
      <w:r w:rsidR="0004181F">
        <w:rPr>
          <w:rFonts w:cs="Arial"/>
          <w:lang w:val="en-US"/>
        </w:rPr>
        <w:fldChar w:fldCharType="separate"/>
      </w:r>
      <w:r w:rsidR="0004181F" w:rsidRPr="0004181F">
        <w:rPr>
          <w:lang w:val="en-US"/>
        </w:rPr>
        <w:t xml:space="preserve">Table </w:t>
      </w:r>
      <w:r w:rsidR="0004181F" w:rsidRPr="0004181F">
        <w:rPr>
          <w:noProof/>
          <w:lang w:val="en-US"/>
        </w:rPr>
        <w:t>7</w:t>
      </w:r>
      <w:r w:rsidR="0004181F">
        <w:rPr>
          <w:rFonts w:cs="Arial"/>
          <w:lang w:val="en-US"/>
        </w:rPr>
        <w:fldChar w:fldCharType="end"/>
      </w:r>
      <w:r w:rsidR="00472ACF" w:rsidRPr="003E0811">
        <w:rPr>
          <w:rFonts w:cs="Arial"/>
          <w:lang w:val="en-US"/>
        </w:rPr>
        <w:t xml:space="preserve"> summarizes the benefits according to the twelve principles of green chemistry that an IL-based cellulose proce</w:t>
      </w:r>
      <w:r w:rsidR="00314223">
        <w:rPr>
          <w:rFonts w:cs="Arial"/>
          <w:lang w:val="en-US"/>
        </w:rPr>
        <w:t>ss</w:t>
      </w:r>
      <w:r w:rsidR="00472ACF" w:rsidRPr="003E0811">
        <w:rPr>
          <w:rFonts w:cs="Arial"/>
          <w:lang w:val="en-US"/>
        </w:rPr>
        <w:t>ing offer</w:t>
      </w:r>
      <w:r w:rsidR="00314223">
        <w:rPr>
          <w:rFonts w:cs="Arial"/>
          <w:lang w:val="en-US"/>
        </w:rPr>
        <w:t>s</w:t>
      </w:r>
      <w:r w:rsidR="00472ACF" w:rsidRPr="003E0811">
        <w:rPr>
          <w:rFonts w:cs="Arial"/>
          <w:lang w:val="en-US"/>
        </w:rPr>
        <w:t xml:space="preserve"> over the viscose process. A process for larger scale production of so called </w:t>
      </w:r>
      <w:proofErr w:type="spellStart"/>
      <w:r w:rsidR="00472ACF" w:rsidRPr="004404FB">
        <w:rPr>
          <w:rFonts w:cs="Arial"/>
          <w:lang w:val="en-US"/>
        </w:rPr>
        <w:t>Ioncell</w:t>
      </w:r>
      <w:proofErr w:type="spellEnd"/>
      <w:r w:rsidR="00472ACF" w:rsidRPr="003E0811">
        <w:rPr>
          <w:rFonts w:cs="Arial"/>
          <w:lang w:val="en-US"/>
        </w:rPr>
        <w:t>-F cellulose is currently under development and shows promising properties and performance.</w:t>
      </w:r>
      <w:r w:rsidR="00472ACF" w:rsidRPr="003E0811">
        <w:rPr>
          <w:rFonts w:cs="Arial"/>
          <w:lang w:val="en-US"/>
        </w:rPr>
        <w:fldChar w:fldCharType="begin" w:fldLock="1"/>
      </w:r>
      <w:r w:rsidR="00CC5DAD" w:rsidRPr="003E0811">
        <w:rPr>
          <w:rFonts w:cs="Arial"/>
          <w:lang w:val="en-US"/>
        </w:rPr>
        <w:instrText>ADDIN CSL_CITATION { "citationItems" : [ { "id" : "ITEM-1", "itemData" : { "DOI" : "10.3183/NPPRJ-2015-30-01-p043-057", "ISSN" : "0283-2631", "author" : [ { "dropping-particle" : "", "family" : "Sixta", "given" : "Herbert", "non-dropping-particle" : "", "parse-names" : false, "suffix" : "" }, { "dropping-particle" : "", "family" : "Michud", "given" : "Anne", "non-dropping-particle" : "", "parse-names" : false, "suffix" : "" }, { "dropping-particle" : "", "family" : "Hauru", "given" : "Lauri", "non-dropping-particle" : "", "parse-names" : false, "suffix" : "" }, { "dropping-particle" : "", "family" : "Assadi", "given" : "Shirin", "non-dropping-particle" : "", "parse-names" : false, "suffix" : "" }, { "dropping-particle" : "", "family" : "Ma", "given" : "Yibo", "non-dropping-particle" : "", "parse-names" : false, "suffix" : "" }, { "dropping-particle" : "", "family" : "King", "given" : "Alistair W. T.", "non-dropping-particle" : "", "parse-names" : false, "suffix" : "" }, { "dropping-particle" : "", "family" : "Kilpel\u00e4inen", "given" : "Ilkka", "non-dropping-particle" : "", "parse-names" : false, "suffix" : "" }, { "dropping-particle" : "", "family" : "Hummel", "given" : "Michael", "non-dropping-particle" : "", "parse-names" : false, "suffix" : "" } ], "container-title" : "Nordic Pulp and Paper Research Journal", "id" : "ITEM-1", "issue" : "01", "issued" : { "date-parts" : [ [ "2015", "3" ] ] }, "page" : "043-057", "title" : "Ioncell-F: A High-strength regenerated cellulose fibre", "type" : "article-journal", "volume" : "30" }, "uris" : [ "http://www.mendeley.com/documents/?uuid=c20b21a5-fed1-4d19-a922-a675511ebaf7" ] } ], "mendeley" : { "formattedCitation" : "&lt;sup&gt;10&lt;/sup&gt;", "plainTextFormattedCitation" : "10", "previouslyFormattedCitation" : "&lt;sup&gt;10&lt;/sup&gt;" }, "properties" : { "noteIndex" : 0 }, "schema" : "https://github.com/citation-style-language/schema/raw/master/csl-citation.json" }</w:instrText>
      </w:r>
      <w:r w:rsidR="00472ACF" w:rsidRPr="003E0811">
        <w:rPr>
          <w:rFonts w:cs="Arial"/>
          <w:lang w:val="en-US"/>
        </w:rPr>
        <w:fldChar w:fldCharType="separate"/>
      </w:r>
      <w:r w:rsidR="00472ACF" w:rsidRPr="003E0811">
        <w:rPr>
          <w:rFonts w:cs="Arial"/>
          <w:noProof/>
          <w:vertAlign w:val="superscript"/>
          <w:lang w:val="en-US"/>
        </w:rPr>
        <w:t>10</w:t>
      </w:r>
      <w:r w:rsidR="00472ACF" w:rsidRPr="003E0811">
        <w:rPr>
          <w:rFonts w:cs="Arial"/>
          <w:lang w:val="en-US"/>
        </w:rPr>
        <w:fldChar w:fldCharType="end"/>
      </w:r>
      <w:r w:rsidR="00472ACF" w:rsidRPr="003E0811">
        <w:rPr>
          <w:rFonts w:cs="Arial"/>
          <w:lang w:val="en-US"/>
        </w:rPr>
        <w:t xml:space="preserve"> </w:t>
      </w:r>
      <w:r w:rsidR="000A4B70" w:rsidRPr="003E0811">
        <w:rPr>
          <w:rFonts w:cs="Arial"/>
          <w:lang w:val="en-US"/>
        </w:rPr>
        <w:t xml:space="preserve"> </w:t>
      </w:r>
      <w:r w:rsidR="00472ACF" w:rsidRPr="003E0811">
        <w:rPr>
          <w:rFonts w:cs="Arial"/>
          <w:lang w:val="en-US"/>
        </w:rPr>
        <w:t>Because of the high solvation power of ionic liquids they are also able to dissolve other biopolymers beside</w:t>
      </w:r>
      <w:r w:rsidR="00314223">
        <w:rPr>
          <w:rFonts w:cs="Arial"/>
          <w:lang w:val="en-US"/>
        </w:rPr>
        <w:t>s</w:t>
      </w:r>
      <w:r w:rsidR="00472ACF" w:rsidRPr="003E0811">
        <w:rPr>
          <w:rFonts w:cs="Arial"/>
          <w:lang w:val="en-US"/>
        </w:rPr>
        <w:t xml:space="preserve"> cellulose and thus offer the ability to generate composites of modified or non-modified polymers </w:t>
      </w:r>
      <w:r w:rsidR="00CC5DAD" w:rsidRPr="003E0811">
        <w:rPr>
          <w:rFonts w:cs="Arial"/>
          <w:lang w:val="en-US"/>
        </w:rPr>
        <w:t xml:space="preserve">that have </w:t>
      </w:r>
      <w:r w:rsidR="00A124C1" w:rsidRPr="003E0811">
        <w:rPr>
          <w:rFonts w:cs="Arial"/>
          <w:lang w:val="en-US"/>
        </w:rPr>
        <w:t>tunable</w:t>
      </w:r>
      <w:r w:rsidR="00CC5DAD" w:rsidRPr="003E0811">
        <w:rPr>
          <w:rFonts w:cs="Arial"/>
          <w:lang w:val="en-US"/>
        </w:rPr>
        <w:t xml:space="preserve"> properties. An interesting example for material science, the “synthetic wood”</w:t>
      </w:r>
      <w:r w:rsidR="00CC5DAD" w:rsidRPr="003E0811">
        <w:rPr>
          <w:rFonts w:cs="Arial"/>
          <w:lang w:val="en-US"/>
        </w:rPr>
        <w:fldChar w:fldCharType="begin" w:fldLock="1"/>
      </w:r>
      <w:r w:rsidR="003D565B" w:rsidRPr="003E0811">
        <w:rPr>
          <w:rFonts w:cs="Arial"/>
          <w:lang w:val="en-US"/>
        </w:rPr>
        <w:instrText>ADDIN CSL_CITATION { "citationItems" : [ { "id" : "ITEM-1", "itemData" : { "DOI" : "10.1007/s00226-010-0395-6", "ISBN" : "0043-7719", "ISSN" : "0043-7719", "abstract" : "Synthetic wood composite films containing cellulose, hemicelluloses, and lignin, the three major components of natural wood, were prepared in a room temperature ionic liquid solvent, 1-ethyl-3-methylimidazolium acetate, [EMIM][Ac]. Various synthetic wood composites were obtained by dissolution of individual wood components together with additives, including polyethylene glycol (PEG), chitosan, and multi-wall carbon nanotubes (MWNTs) in [EMIM][Ac]. The addition of water affords a gel that was dried in either a low humidity environment or under vacuum. Synthetic wood films showed smoother surface textures, higher water resistance, and higher tensile strengths than cellulose films formed by the same methods. Tailor-made synthetic wood composites were also prepared having a variety of desirable properties, including antimicrobial activities, controlled hydro-phobicity/philicity, high relative dielectric constant, and a high degree of cohesiveness.", "author" : [ { "dropping-particle" : "", "family" : "Simmons", "given" : "Trevor J.", "non-dropping-particle" : "", "parse-names" : false, "suffix" : "" }, { "dropping-particle" : "", "family" : "Lee", "given" : "Sang Hyun", "non-dropping-particle" : "", "parse-names" : false, "suffix" : "" }, { "dropping-particle" : "", "family" : "Miao", "given" : "Jianjun", "non-dropping-particle" : "", "parse-names" : false, "suffix" : "" }, { "dropping-particle" : "", "family" : "Miyauchi", "given" : "Minoru", "non-dropping-particle" : "", "parse-names" : false, "suffix" : "" }, { "dropping-particle" : "", "family" : "Park", "given" : "Tae-Joon", "non-dropping-particle" : "", "parse-names" : false, "suffix" : "" }, { "dropping-particle" : "", "family" : "Bale", "given" : "Shyam S.", "non-dropping-particle" : "", "parse-names" : false, "suffix" : "" }, { "dropping-particle" : "", "family" : "Pangule", "given" : "Ravi", "non-dropping-particle" : "", "parse-names" : false, "suffix" : "" }, { "dropping-particle" : "", "family" : "Bult", "given" : "Justin", "non-dropping-particle" : "", "parse-names" : false, "suffix" : "" }, { "dropping-particle" : "", "family" : "Martin", "given" : "Jeffrey G.", "non-dropping-particle" : "", "parse-names" : false, "suffix" : "" }, { "dropping-particle" : "", "family" : "Dordick", "given" : "Jonathan S.", "non-dropping-particle" : "", "parse-names" : false, "suffix" : "" }, { "dropping-particle" : "", "family" : "Linhardt", "given" : "Robert J.", "non-dropping-particle" : "", "parse-names" : false, "suffix" : "" } ], "container-title" : "Wood Science and Technology", "id" : "ITEM-1", "issue" : "4", "issued" : { "date-parts" : [ [ "2011", "11", "28" ] ] }, "page" : "719-733", "title" : "Preparation of synthetic wood composites using ionic liquids", "type" : "article-journal", "volume" : "45" }, "uris" : [ "http://www.mendeley.com/documents/?uuid=216a82d5-86df-4081-9843-742f3df251c3" ] } ], "mendeley" : { "formattedCitation" : "&lt;sup&gt;11&lt;/sup&gt;", "plainTextFormattedCitation" : "11", "previouslyFormattedCitation" : "&lt;sup&gt;11&lt;/sup&gt;" }, "properties" : { "noteIndex" : 0 }, "schema" : "https://github.com/citation-style-language/schema/raw/master/csl-citation.json" }</w:instrText>
      </w:r>
      <w:r w:rsidR="00CC5DAD" w:rsidRPr="003E0811">
        <w:rPr>
          <w:rFonts w:cs="Arial"/>
          <w:lang w:val="en-US"/>
        </w:rPr>
        <w:fldChar w:fldCharType="separate"/>
      </w:r>
      <w:r w:rsidR="00CC5DAD" w:rsidRPr="003E0811">
        <w:rPr>
          <w:rFonts w:cs="Arial"/>
          <w:noProof/>
          <w:vertAlign w:val="superscript"/>
          <w:lang w:val="en-US"/>
        </w:rPr>
        <w:t>11</w:t>
      </w:r>
      <w:r w:rsidR="00CC5DAD" w:rsidRPr="003E0811">
        <w:rPr>
          <w:rFonts w:cs="Arial"/>
          <w:lang w:val="en-US"/>
        </w:rPr>
        <w:fldChar w:fldCharType="end"/>
      </w:r>
      <w:r w:rsidR="00CC5DAD" w:rsidRPr="003E0811">
        <w:rPr>
          <w:rFonts w:cs="Arial"/>
          <w:lang w:val="en-US"/>
        </w:rPr>
        <w:t xml:space="preserve"> consisting of different amounts of lignin and cellulose, is demonstrated in the main manuscript</w:t>
      </w:r>
      <w:r w:rsidR="00A124C1">
        <w:rPr>
          <w:rFonts w:cs="Arial"/>
          <w:lang w:val="en-US"/>
        </w:rPr>
        <w:t>.</w:t>
      </w:r>
      <w:r w:rsidR="00CC5DAD" w:rsidRPr="003E0811">
        <w:rPr>
          <w:rFonts w:cs="Arial"/>
          <w:lang w:val="en-US"/>
        </w:rPr>
        <w:t xml:space="preserve"> </w:t>
      </w:r>
      <w:r w:rsidR="000A4B70" w:rsidRPr="003E0811">
        <w:rPr>
          <w:rFonts w:cs="Arial"/>
          <w:lang w:val="en-US"/>
        </w:rPr>
        <w:t xml:space="preserve">  </w:t>
      </w:r>
    </w:p>
    <w:p w:rsidR="00A20E3F" w:rsidRPr="003E0811" w:rsidRDefault="00A20E3F" w:rsidP="007F5E77">
      <w:pPr>
        <w:jc w:val="both"/>
        <w:rPr>
          <w:rFonts w:cs="Arial"/>
          <w:lang w:val="en-US"/>
        </w:rPr>
      </w:pPr>
      <w:r w:rsidRPr="003E0811">
        <w:rPr>
          <w:rFonts w:cs="Arial"/>
          <w:noProof/>
          <w:lang w:eastAsia="de-DE"/>
        </w:rPr>
        <w:drawing>
          <wp:inline distT="0" distB="0" distL="0" distR="0" wp14:anchorId="24B04CE4" wp14:editId="1A828AF1">
            <wp:extent cx="5760720" cy="3156585"/>
            <wp:effectExtent l="0" t="0" r="0" b="571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cose proces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156585"/>
                    </a:xfrm>
                    <a:prstGeom prst="rect">
                      <a:avLst/>
                    </a:prstGeom>
                  </pic:spPr>
                </pic:pic>
              </a:graphicData>
            </a:graphic>
          </wp:inline>
        </w:drawing>
      </w:r>
    </w:p>
    <w:p w:rsidR="00A20E3F" w:rsidRPr="003E0811" w:rsidRDefault="00A758AE" w:rsidP="00A758AE">
      <w:pPr>
        <w:pStyle w:val="Beschriftung"/>
        <w:rPr>
          <w:rFonts w:cs="Arial"/>
          <w:lang w:val="en-US"/>
        </w:rPr>
      </w:pPr>
      <w:r w:rsidRPr="00A758AE">
        <w:rPr>
          <w:lang w:val="en-US"/>
        </w:rPr>
        <w:t xml:space="preserve">Figure </w:t>
      </w:r>
      <w:r>
        <w:fldChar w:fldCharType="begin"/>
      </w:r>
      <w:r w:rsidRPr="00A758AE">
        <w:rPr>
          <w:lang w:val="en-US"/>
        </w:rPr>
        <w:instrText xml:space="preserve"> SEQ Figure \* ARABIC </w:instrText>
      </w:r>
      <w:r>
        <w:fldChar w:fldCharType="separate"/>
      </w:r>
      <w:r w:rsidR="00880438">
        <w:rPr>
          <w:noProof/>
          <w:lang w:val="en-US"/>
        </w:rPr>
        <w:t>3</w:t>
      </w:r>
      <w:r>
        <w:fldChar w:fldCharType="end"/>
      </w:r>
      <w:r w:rsidRPr="00A758AE">
        <w:rPr>
          <w:lang w:val="en-US"/>
        </w:rPr>
        <w:t xml:space="preserve">. </w:t>
      </w:r>
      <w:r w:rsidR="00A20E3F" w:rsidRPr="00A758AE">
        <w:rPr>
          <w:rFonts w:cs="Arial"/>
          <w:b w:val="0"/>
          <w:lang w:val="en-US"/>
        </w:rPr>
        <w:t>The conventional industrially applied viscose process for the processing of cellulose.</w:t>
      </w:r>
    </w:p>
    <w:p w:rsidR="00472ACF" w:rsidRPr="003E0811" w:rsidRDefault="00472ACF">
      <w:pPr>
        <w:rPr>
          <w:rFonts w:cs="Arial"/>
          <w:lang w:val="en-US"/>
        </w:rPr>
      </w:pPr>
      <w:r w:rsidRPr="003E0811">
        <w:rPr>
          <w:rFonts w:cs="Arial"/>
          <w:lang w:val="en-US"/>
        </w:rPr>
        <w:br w:type="page"/>
      </w:r>
    </w:p>
    <w:p w:rsidR="007F5E77" w:rsidRPr="00A758AE" w:rsidRDefault="00A758AE" w:rsidP="00A124C1">
      <w:pPr>
        <w:pStyle w:val="Beschriftung"/>
        <w:jc w:val="both"/>
        <w:rPr>
          <w:rFonts w:cs="Arial"/>
          <w:color w:val="auto"/>
          <w:szCs w:val="22"/>
          <w:lang w:val="en-US"/>
        </w:rPr>
      </w:pPr>
      <w:bookmarkStart w:id="16" w:name="_Ref484769700"/>
      <w:r w:rsidRPr="007648EE">
        <w:rPr>
          <w:color w:val="auto"/>
          <w:szCs w:val="22"/>
          <w:lang w:val="en-US"/>
        </w:rPr>
        <w:lastRenderedPageBreak/>
        <w:t xml:space="preserve">Table </w:t>
      </w:r>
      <w:r w:rsidRPr="00A758AE">
        <w:rPr>
          <w:color w:val="auto"/>
          <w:szCs w:val="22"/>
        </w:rPr>
        <w:fldChar w:fldCharType="begin"/>
      </w:r>
      <w:r w:rsidRPr="007648EE">
        <w:rPr>
          <w:color w:val="auto"/>
          <w:szCs w:val="22"/>
          <w:lang w:val="en-US"/>
        </w:rPr>
        <w:instrText xml:space="preserve"> SEQ Table \* ARABIC </w:instrText>
      </w:r>
      <w:r w:rsidRPr="00A758AE">
        <w:rPr>
          <w:color w:val="auto"/>
          <w:szCs w:val="22"/>
        </w:rPr>
        <w:fldChar w:fldCharType="separate"/>
      </w:r>
      <w:r w:rsidRPr="007648EE">
        <w:rPr>
          <w:noProof/>
          <w:color w:val="auto"/>
          <w:szCs w:val="22"/>
          <w:lang w:val="en-US"/>
        </w:rPr>
        <w:t>7</w:t>
      </w:r>
      <w:r w:rsidRPr="00A758AE">
        <w:rPr>
          <w:color w:val="auto"/>
          <w:szCs w:val="22"/>
        </w:rPr>
        <w:fldChar w:fldCharType="end"/>
      </w:r>
      <w:bookmarkEnd w:id="16"/>
      <w:r w:rsidR="007F5E77" w:rsidRPr="00A758AE">
        <w:rPr>
          <w:rFonts w:cs="Arial"/>
          <w:color w:val="auto"/>
          <w:szCs w:val="22"/>
          <w:lang w:val="en-US"/>
        </w:rPr>
        <w:t xml:space="preserve">. </w:t>
      </w:r>
      <w:r w:rsidR="00472ACF" w:rsidRPr="00A758AE">
        <w:rPr>
          <w:rFonts w:cs="Arial"/>
          <w:b w:val="0"/>
          <w:color w:val="auto"/>
          <w:szCs w:val="22"/>
          <w:lang w:val="en-US"/>
        </w:rPr>
        <w:t>Green</w:t>
      </w:r>
      <w:r w:rsidR="007F5E77" w:rsidRPr="00A758AE">
        <w:rPr>
          <w:rFonts w:cs="Arial"/>
          <w:b w:val="0"/>
          <w:color w:val="auto"/>
          <w:szCs w:val="22"/>
          <w:lang w:val="en-US"/>
        </w:rPr>
        <w:t xml:space="preserve"> chemistry principles of </w:t>
      </w:r>
      <w:r w:rsidR="00472ACF" w:rsidRPr="00A758AE">
        <w:rPr>
          <w:rFonts w:cs="Arial"/>
          <w:b w:val="0"/>
          <w:color w:val="auto"/>
          <w:szCs w:val="22"/>
          <w:lang w:val="en-US"/>
        </w:rPr>
        <w:t>cellulose processing</w:t>
      </w:r>
      <w:r w:rsidR="007F5E77" w:rsidRPr="00A758AE">
        <w:rPr>
          <w:rFonts w:cs="Arial"/>
          <w:b w:val="0"/>
          <w:color w:val="auto"/>
          <w:szCs w:val="22"/>
          <w:lang w:val="en-US"/>
        </w:rPr>
        <w:t xml:space="preserve"> using ionic liquids </w:t>
      </w:r>
      <w:r w:rsidR="00472ACF" w:rsidRPr="00A758AE">
        <w:rPr>
          <w:rFonts w:cs="Arial"/>
          <w:b w:val="0"/>
          <w:color w:val="auto"/>
          <w:szCs w:val="22"/>
          <w:lang w:val="en-US"/>
        </w:rPr>
        <w:t>compared to the viscose process as widespread industrial processing.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835"/>
        <w:gridCol w:w="3002"/>
        <w:gridCol w:w="2917"/>
      </w:tblGrid>
      <w:tr w:rsidR="0071424E" w:rsidRPr="00B1390F" w:rsidTr="00831076">
        <w:tc>
          <w:tcPr>
            <w:tcW w:w="534" w:type="dxa"/>
            <w:tcBorders>
              <w:top w:val="single" w:sz="4" w:space="0" w:color="auto"/>
              <w:bottom w:val="single" w:sz="12" w:space="0" w:color="auto"/>
            </w:tcBorders>
          </w:tcPr>
          <w:p w:rsidR="007F5E77" w:rsidRPr="002B39BC" w:rsidRDefault="007F5E77" w:rsidP="00A758AE">
            <w:pPr>
              <w:spacing w:line="276" w:lineRule="auto"/>
              <w:jc w:val="center"/>
              <w:rPr>
                <w:rFonts w:cs="Arial"/>
                <w:color w:val="000000" w:themeColor="text1"/>
                <w:sz w:val="20"/>
                <w:szCs w:val="20"/>
                <w:lang w:val="en-US"/>
              </w:rPr>
            </w:pPr>
          </w:p>
        </w:tc>
        <w:tc>
          <w:tcPr>
            <w:tcW w:w="2835" w:type="dxa"/>
            <w:tcBorders>
              <w:top w:val="single" w:sz="4" w:space="0" w:color="auto"/>
              <w:bottom w:val="single" w:sz="12" w:space="0" w:color="auto"/>
            </w:tcBorders>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Green Chemistry Principle</w:t>
            </w:r>
          </w:p>
        </w:tc>
        <w:tc>
          <w:tcPr>
            <w:tcW w:w="3002" w:type="dxa"/>
            <w:tcBorders>
              <w:top w:val="single" w:sz="4" w:space="0" w:color="auto"/>
              <w:bottom w:val="single" w:sz="12" w:space="0" w:color="auto"/>
            </w:tcBorders>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Conventional method (</w:t>
            </w:r>
            <w:r w:rsidR="00CC5DAD" w:rsidRPr="002B39BC">
              <w:rPr>
                <w:rFonts w:cs="Arial"/>
                <w:color w:val="000000" w:themeColor="text1"/>
                <w:sz w:val="20"/>
                <w:szCs w:val="20"/>
                <w:lang w:val="en-US"/>
              </w:rPr>
              <w:t>viscose process via xanthate intermediate as widespread example</w:t>
            </w:r>
            <w:r w:rsidRPr="002B39BC">
              <w:rPr>
                <w:rFonts w:cs="Arial"/>
                <w:color w:val="000000" w:themeColor="text1"/>
                <w:sz w:val="20"/>
                <w:szCs w:val="20"/>
                <w:lang w:val="en-US"/>
              </w:rPr>
              <w:t>)</w:t>
            </w:r>
          </w:p>
        </w:tc>
        <w:tc>
          <w:tcPr>
            <w:tcW w:w="2917" w:type="dxa"/>
            <w:tcBorders>
              <w:top w:val="single" w:sz="4" w:space="0" w:color="auto"/>
              <w:bottom w:val="single" w:sz="12" w:space="0" w:color="auto"/>
            </w:tcBorders>
          </w:tcPr>
          <w:p w:rsidR="007F5E77" w:rsidRPr="002B39BC" w:rsidRDefault="00CC5DAD"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Cellulose processing </w:t>
            </w:r>
            <w:r w:rsidR="007F5E77" w:rsidRPr="002B39BC">
              <w:rPr>
                <w:rFonts w:cs="Arial"/>
                <w:color w:val="000000" w:themeColor="text1"/>
                <w:sz w:val="20"/>
                <w:szCs w:val="20"/>
                <w:lang w:val="en-US"/>
              </w:rPr>
              <w:t>using ionic liquids</w:t>
            </w:r>
          </w:p>
        </w:tc>
      </w:tr>
      <w:tr w:rsidR="0071424E" w:rsidRPr="00B1390F" w:rsidTr="00831076">
        <w:tc>
          <w:tcPr>
            <w:tcW w:w="534" w:type="dxa"/>
            <w:tcBorders>
              <w:top w:val="single" w:sz="12" w:space="0" w:color="auto"/>
            </w:tcBorders>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1</w:t>
            </w:r>
          </w:p>
        </w:tc>
        <w:tc>
          <w:tcPr>
            <w:tcW w:w="2835" w:type="dxa"/>
            <w:tcBorders>
              <w:top w:val="single" w:sz="12" w:space="0" w:color="auto"/>
            </w:tcBorders>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Waste </w:t>
            </w:r>
            <w:r w:rsidR="00F321E3" w:rsidRPr="002B39BC">
              <w:rPr>
                <w:rFonts w:cs="Arial"/>
                <w:color w:val="000000" w:themeColor="text1"/>
                <w:sz w:val="20"/>
                <w:szCs w:val="20"/>
                <w:lang w:val="en-US"/>
              </w:rPr>
              <w:t>p</w:t>
            </w:r>
            <w:r w:rsidRPr="002B39BC">
              <w:rPr>
                <w:rFonts w:cs="Arial"/>
                <w:color w:val="000000" w:themeColor="text1"/>
                <w:sz w:val="20"/>
                <w:szCs w:val="20"/>
                <w:lang w:val="en-US"/>
              </w:rPr>
              <w:t>revention</w:t>
            </w:r>
          </w:p>
        </w:tc>
        <w:tc>
          <w:tcPr>
            <w:tcW w:w="3002" w:type="dxa"/>
            <w:tcBorders>
              <w:top w:val="single" w:sz="12" w:space="0" w:color="auto"/>
            </w:tcBorders>
          </w:tcPr>
          <w:p w:rsidR="007F5E77" w:rsidRPr="002B39BC" w:rsidRDefault="00CC5DAD"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Large amounts of</w:t>
            </w:r>
            <w:r w:rsidR="007F5E77" w:rsidRPr="002B39BC">
              <w:rPr>
                <w:rFonts w:cs="Arial"/>
                <w:color w:val="000000" w:themeColor="text1"/>
                <w:sz w:val="20"/>
                <w:szCs w:val="20"/>
                <w:lang w:val="en-US"/>
              </w:rPr>
              <w:t xml:space="preserve"> additional chemicals needed (e.g. sodium hydroxide, </w:t>
            </w:r>
            <w:r w:rsidRPr="002B39BC">
              <w:rPr>
                <w:rFonts w:cs="Arial"/>
                <w:color w:val="000000" w:themeColor="text1"/>
                <w:sz w:val="20"/>
                <w:szCs w:val="20"/>
                <w:lang w:val="en-US"/>
              </w:rPr>
              <w:t>sulfuric acid, CS</w:t>
            </w:r>
            <w:r w:rsidRPr="002B39BC">
              <w:rPr>
                <w:rFonts w:cs="Arial"/>
                <w:color w:val="000000" w:themeColor="text1"/>
                <w:sz w:val="20"/>
                <w:szCs w:val="20"/>
                <w:vertAlign w:val="subscript"/>
                <w:lang w:val="en-US"/>
              </w:rPr>
              <w:t>2</w:t>
            </w:r>
            <w:r w:rsidR="007F5E77" w:rsidRPr="002B39BC">
              <w:rPr>
                <w:rFonts w:cs="Arial"/>
                <w:color w:val="000000" w:themeColor="text1"/>
                <w:sz w:val="20"/>
                <w:szCs w:val="20"/>
                <w:lang w:val="en-US"/>
              </w:rPr>
              <w:t>)</w:t>
            </w:r>
            <w:r w:rsidRPr="002B39BC">
              <w:rPr>
                <w:rFonts w:cs="Arial"/>
                <w:color w:val="000000" w:themeColor="text1"/>
                <w:sz w:val="20"/>
                <w:szCs w:val="20"/>
                <w:lang w:val="en-US"/>
              </w:rPr>
              <w:t xml:space="preserve"> that </w:t>
            </w:r>
            <w:r w:rsidR="00175D96" w:rsidRPr="002B39BC">
              <w:rPr>
                <w:rFonts w:cs="Arial"/>
                <w:color w:val="000000" w:themeColor="text1"/>
                <w:sz w:val="20"/>
                <w:szCs w:val="20"/>
                <w:lang w:val="en-US"/>
              </w:rPr>
              <w:t>can only</w:t>
            </w:r>
            <w:r w:rsidRPr="002B39BC">
              <w:rPr>
                <w:rFonts w:cs="Arial"/>
                <w:color w:val="000000" w:themeColor="text1"/>
                <w:sz w:val="20"/>
                <w:szCs w:val="20"/>
                <w:lang w:val="en-US"/>
              </w:rPr>
              <w:t xml:space="preserve"> be regenerated</w:t>
            </w:r>
            <w:r w:rsidR="007F5E77" w:rsidRPr="002B39BC">
              <w:rPr>
                <w:rFonts w:cs="Arial"/>
                <w:color w:val="000000" w:themeColor="text1"/>
                <w:sz w:val="20"/>
                <w:szCs w:val="20"/>
                <w:lang w:val="en-US"/>
              </w:rPr>
              <w:t xml:space="preserve"> </w:t>
            </w:r>
            <w:r w:rsidRPr="002B39BC">
              <w:rPr>
                <w:rFonts w:cs="Arial"/>
                <w:color w:val="000000" w:themeColor="text1"/>
                <w:sz w:val="20"/>
                <w:szCs w:val="20"/>
                <w:lang w:val="en-US"/>
              </w:rPr>
              <w:t>in minor amounts</w:t>
            </w:r>
          </w:p>
        </w:tc>
        <w:tc>
          <w:tcPr>
            <w:tcW w:w="2917" w:type="dxa"/>
            <w:tcBorders>
              <w:top w:val="single" w:sz="12" w:space="0" w:color="auto"/>
            </w:tcBorders>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No additional reagents needed as ILs have strong solvation ability for biomass</w:t>
            </w:r>
            <w:r w:rsidR="00175D96" w:rsidRPr="002B39BC">
              <w:rPr>
                <w:rFonts w:cs="Arial"/>
                <w:color w:val="000000" w:themeColor="text1"/>
                <w:sz w:val="20"/>
                <w:szCs w:val="20"/>
                <w:lang w:val="en-US"/>
              </w:rPr>
              <w:t>;</w:t>
            </w:r>
            <w:r w:rsidRPr="002B39BC">
              <w:rPr>
                <w:rFonts w:cs="Arial"/>
                <w:color w:val="000000" w:themeColor="text1"/>
                <w:sz w:val="20"/>
                <w:szCs w:val="20"/>
                <w:lang w:val="en-US"/>
              </w:rPr>
              <w:t xml:space="preserve"> </w:t>
            </w:r>
            <w:r w:rsidR="00CC5DAD" w:rsidRPr="002B39BC">
              <w:rPr>
                <w:rFonts w:cs="Arial"/>
                <w:color w:val="000000" w:themeColor="text1"/>
                <w:sz w:val="20"/>
                <w:szCs w:val="20"/>
                <w:lang w:val="en-US"/>
              </w:rPr>
              <w:t>in principle full solvent recovery</w:t>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2</w:t>
            </w:r>
          </w:p>
        </w:tc>
        <w:tc>
          <w:tcPr>
            <w:tcW w:w="2835"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Atom </w:t>
            </w:r>
            <w:r w:rsidR="00F321E3" w:rsidRPr="002B39BC">
              <w:rPr>
                <w:rFonts w:cs="Arial"/>
                <w:color w:val="000000" w:themeColor="text1"/>
                <w:sz w:val="20"/>
                <w:szCs w:val="20"/>
                <w:lang w:val="en-US"/>
              </w:rPr>
              <w:t>e</w:t>
            </w:r>
            <w:r w:rsidRPr="002B39BC">
              <w:rPr>
                <w:rFonts w:cs="Arial"/>
                <w:color w:val="000000" w:themeColor="text1"/>
                <w:sz w:val="20"/>
                <w:szCs w:val="20"/>
                <w:lang w:val="en-US"/>
              </w:rPr>
              <w:t>conomy</w:t>
            </w:r>
          </w:p>
        </w:tc>
        <w:tc>
          <w:tcPr>
            <w:tcW w:w="3002" w:type="dxa"/>
          </w:tcPr>
          <w:p w:rsidR="007F5E77" w:rsidRPr="002B39BC" w:rsidRDefault="00AE52A5"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Poorly through use of derivatization reagents and incomplete or impracticable work up</w:t>
            </w:r>
          </w:p>
        </w:tc>
        <w:tc>
          <w:tcPr>
            <w:tcW w:w="2917" w:type="dxa"/>
          </w:tcPr>
          <w:p w:rsidR="007F5E77" w:rsidRPr="002B39BC" w:rsidRDefault="00AE52A5"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High as no derivatization reactions applied and full solvent recovery </w:t>
            </w:r>
            <w:r w:rsidR="002B39BC">
              <w:rPr>
                <w:rFonts w:cs="Arial"/>
                <w:color w:val="000000" w:themeColor="text1"/>
                <w:sz w:val="20"/>
                <w:szCs w:val="20"/>
                <w:lang w:val="en-US"/>
              </w:rPr>
              <w:t>to create closed processing circle</w:t>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3</w:t>
            </w:r>
          </w:p>
        </w:tc>
        <w:tc>
          <w:tcPr>
            <w:tcW w:w="2835"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Less </w:t>
            </w:r>
            <w:r w:rsidR="00F321E3" w:rsidRPr="002B39BC">
              <w:rPr>
                <w:rFonts w:cs="Arial"/>
                <w:color w:val="000000" w:themeColor="text1"/>
                <w:sz w:val="20"/>
                <w:szCs w:val="20"/>
                <w:lang w:val="en-US"/>
              </w:rPr>
              <w:t>h</w:t>
            </w:r>
            <w:r w:rsidRPr="002B39BC">
              <w:rPr>
                <w:rFonts w:cs="Arial"/>
                <w:color w:val="000000" w:themeColor="text1"/>
                <w:sz w:val="20"/>
                <w:szCs w:val="20"/>
                <w:lang w:val="en-US"/>
              </w:rPr>
              <w:t xml:space="preserve">azardous </w:t>
            </w:r>
            <w:r w:rsidR="00F321E3" w:rsidRPr="002B39BC">
              <w:rPr>
                <w:rFonts w:cs="Arial"/>
                <w:color w:val="000000" w:themeColor="text1"/>
                <w:sz w:val="20"/>
                <w:szCs w:val="20"/>
                <w:lang w:val="en-US"/>
              </w:rPr>
              <w:t>c</w:t>
            </w:r>
            <w:r w:rsidRPr="002B39BC">
              <w:rPr>
                <w:rFonts w:cs="Arial"/>
                <w:color w:val="000000" w:themeColor="text1"/>
                <w:sz w:val="20"/>
                <w:szCs w:val="20"/>
                <w:lang w:val="en-US"/>
              </w:rPr>
              <w:t xml:space="preserve">hemical </w:t>
            </w:r>
            <w:r w:rsidR="00F321E3" w:rsidRPr="002B39BC">
              <w:rPr>
                <w:rFonts w:cs="Arial"/>
                <w:color w:val="000000" w:themeColor="text1"/>
                <w:sz w:val="20"/>
                <w:szCs w:val="20"/>
                <w:lang w:val="en-US"/>
              </w:rPr>
              <w:t>s</w:t>
            </w:r>
            <w:r w:rsidRPr="002B39BC">
              <w:rPr>
                <w:rFonts w:cs="Arial"/>
                <w:color w:val="000000" w:themeColor="text1"/>
                <w:sz w:val="20"/>
                <w:szCs w:val="20"/>
                <w:lang w:val="en-US"/>
              </w:rPr>
              <w:t>yntheses</w:t>
            </w:r>
          </w:p>
        </w:tc>
        <w:tc>
          <w:tcPr>
            <w:tcW w:w="3002" w:type="dxa"/>
          </w:tcPr>
          <w:p w:rsidR="007F5E77" w:rsidRPr="002B39BC" w:rsidRDefault="00AE52A5"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Volatile, flammable and toxic CS</w:t>
            </w:r>
            <w:r w:rsidRPr="002B39BC">
              <w:rPr>
                <w:rFonts w:cs="Arial"/>
                <w:color w:val="000000" w:themeColor="text1"/>
                <w:sz w:val="20"/>
                <w:szCs w:val="20"/>
                <w:vertAlign w:val="subscript"/>
                <w:lang w:val="en-US"/>
              </w:rPr>
              <w:t>2</w:t>
            </w:r>
            <w:r w:rsidRPr="002B39BC">
              <w:rPr>
                <w:rFonts w:cs="Arial"/>
                <w:color w:val="000000" w:themeColor="text1"/>
                <w:sz w:val="20"/>
                <w:szCs w:val="20"/>
                <w:lang w:val="en-US"/>
              </w:rPr>
              <w:t xml:space="preserve">, </w:t>
            </w:r>
            <w:r w:rsidR="007F5E77" w:rsidRPr="002B39BC">
              <w:rPr>
                <w:rFonts w:cs="Arial"/>
                <w:color w:val="000000" w:themeColor="text1"/>
                <w:sz w:val="20"/>
                <w:szCs w:val="20"/>
                <w:lang w:val="en-US"/>
              </w:rPr>
              <w:t xml:space="preserve">corrosive sodium </w:t>
            </w:r>
            <w:r w:rsidRPr="002B39BC">
              <w:rPr>
                <w:rFonts w:cs="Arial"/>
                <w:color w:val="000000" w:themeColor="text1"/>
                <w:sz w:val="20"/>
                <w:szCs w:val="20"/>
                <w:lang w:val="en-US"/>
              </w:rPr>
              <w:t>hydroxide and sulfuric acid</w:t>
            </w:r>
          </w:p>
        </w:tc>
        <w:tc>
          <w:tcPr>
            <w:tcW w:w="2917"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ILs as stable, nonvolatile, non-flammable solvents, </w:t>
            </w:r>
            <w:r w:rsidR="00DD36F9" w:rsidRPr="002B39BC">
              <w:rPr>
                <w:rFonts w:cs="Arial"/>
                <w:color w:val="000000" w:themeColor="text1"/>
                <w:sz w:val="20"/>
                <w:szCs w:val="20"/>
                <w:lang w:val="en-US"/>
              </w:rPr>
              <w:t>tunable</w:t>
            </w:r>
            <w:r w:rsidRPr="002B39BC">
              <w:rPr>
                <w:rFonts w:cs="Arial"/>
                <w:color w:val="000000" w:themeColor="text1"/>
                <w:sz w:val="20"/>
                <w:szCs w:val="20"/>
                <w:lang w:val="en-US"/>
              </w:rPr>
              <w:t xml:space="preserve"> </w:t>
            </w:r>
            <w:r w:rsidR="00AE52A5" w:rsidRPr="002B39BC">
              <w:rPr>
                <w:rFonts w:cs="Arial"/>
                <w:color w:val="000000" w:themeColor="text1"/>
                <w:sz w:val="20"/>
                <w:szCs w:val="20"/>
                <w:lang w:val="en-US"/>
              </w:rPr>
              <w:t>towards</w:t>
            </w:r>
            <w:r w:rsidRPr="002B39BC">
              <w:rPr>
                <w:rFonts w:cs="Arial"/>
                <w:color w:val="000000" w:themeColor="text1"/>
                <w:sz w:val="20"/>
                <w:szCs w:val="20"/>
                <w:lang w:val="en-US"/>
              </w:rPr>
              <w:t xml:space="preserve"> non-toxicity</w:t>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4</w:t>
            </w:r>
          </w:p>
        </w:tc>
        <w:tc>
          <w:tcPr>
            <w:tcW w:w="2835"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Design </w:t>
            </w:r>
            <w:r w:rsidR="00F321E3" w:rsidRPr="002B39BC">
              <w:rPr>
                <w:rFonts w:cs="Arial"/>
                <w:color w:val="000000" w:themeColor="text1"/>
                <w:sz w:val="20"/>
                <w:szCs w:val="20"/>
                <w:lang w:val="en-US"/>
              </w:rPr>
              <w:t>s</w:t>
            </w:r>
            <w:r w:rsidRPr="002B39BC">
              <w:rPr>
                <w:rFonts w:cs="Arial"/>
                <w:color w:val="000000" w:themeColor="text1"/>
                <w:sz w:val="20"/>
                <w:szCs w:val="20"/>
                <w:lang w:val="en-US"/>
              </w:rPr>
              <w:t xml:space="preserve">afer </w:t>
            </w:r>
            <w:r w:rsidR="00F321E3" w:rsidRPr="002B39BC">
              <w:rPr>
                <w:rFonts w:cs="Arial"/>
                <w:color w:val="000000" w:themeColor="text1"/>
                <w:sz w:val="20"/>
                <w:szCs w:val="20"/>
                <w:lang w:val="en-US"/>
              </w:rPr>
              <w:t>c</w:t>
            </w:r>
            <w:r w:rsidRPr="002B39BC">
              <w:rPr>
                <w:rFonts w:cs="Arial"/>
                <w:color w:val="000000" w:themeColor="text1"/>
                <w:sz w:val="20"/>
                <w:szCs w:val="20"/>
                <w:lang w:val="en-US"/>
              </w:rPr>
              <w:t>hemicals</w:t>
            </w:r>
          </w:p>
        </w:tc>
        <w:tc>
          <w:tcPr>
            <w:tcW w:w="3002"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w:t>
            </w:r>
          </w:p>
        </w:tc>
        <w:tc>
          <w:tcPr>
            <w:tcW w:w="2917" w:type="dxa"/>
          </w:tcPr>
          <w:p w:rsidR="007F5E77" w:rsidRPr="002B39BC" w:rsidRDefault="00AE52A5"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Intrinsically safer solvents, w</w:t>
            </w:r>
            <w:r w:rsidR="007F5E77" w:rsidRPr="002B39BC">
              <w:rPr>
                <w:rFonts w:cs="Arial"/>
                <w:color w:val="000000" w:themeColor="text1"/>
                <w:sz w:val="20"/>
                <w:szCs w:val="20"/>
                <w:lang w:val="en-US"/>
              </w:rPr>
              <w:t>idely tailorable to reduce impact on organisms</w:t>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5</w:t>
            </w:r>
          </w:p>
        </w:tc>
        <w:tc>
          <w:tcPr>
            <w:tcW w:w="2835"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Safer </w:t>
            </w:r>
            <w:r w:rsidR="00F321E3" w:rsidRPr="002B39BC">
              <w:rPr>
                <w:rFonts w:cs="Arial"/>
                <w:color w:val="000000" w:themeColor="text1"/>
                <w:sz w:val="20"/>
                <w:szCs w:val="20"/>
                <w:lang w:val="en-US"/>
              </w:rPr>
              <w:t>s</w:t>
            </w:r>
            <w:r w:rsidRPr="002B39BC">
              <w:rPr>
                <w:rFonts w:cs="Arial"/>
                <w:color w:val="000000" w:themeColor="text1"/>
                <w:sz w:val="20"/>
                <w:szCs w:val="20"/>
                <w:lang w:val="en-US"/>
              </w:rPr>
              <w:t xml:space="preserve">olvents and </w:t>
            </w:r>
            <w:r w:rsidR="00F321E3" w:rsidRPr="002B39BC">
              <w:rPr>
                <w:rFonts w:cs="Arial"/>
                <w:color w:val="000000" w:themeColor="text1"/>
                <w:sz w:val="20"/>
                <w:szCs w:val="20"/>
                <w:lang w:val="en-US"/>
              </w:rPr>
              <w:t>a</w:t>
            </w:r>
            <w:r w:rsidRPr="002B39BC">
              <w:rPr>
                <w:rFonts w:cs="Arial"/>
                <w:color w:val="000000" w:themeColor="text1"/>
                <w:sz w:val="20"/>
                <w:szCs w:val="20"/>
                <w:lang w:val="en-US"/>
              </w:rPr>
              <w:t>uxiliaries</w:t>
            </w:r>
          </w:p>
        </w:tc>
        <w:tc>
          <w:tcPr>
            <w:tcW w:w="3002" w:type="dxa"/>
          </w:tcPr>
          <w:p w:rsidR="007F5E77" w:rsidRPr="002B39BC" w:rsidRDefault="00AE52A5" w:rsidP="00DD36F9">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Water as safe</w:t>
            </w:r>
            <w:r w:rsidR="00DD36F9">
              <w:rPr>
                <w:rFonts w:cs="Arial"/>
                <w:color w:val="000000" w:themeColor="text1"/>
                <w:sz w:val="20"/>
                <w:szCs w:val="20"/>
                <w:lang w:val="en-US"/>
              </w:rPr>
              <w:t>, benign</w:t>
            </w:r>
            <w:r w:rsidRPr="002B39BC">
              <w:rPr>
                <w:rFonts w:cs="Arial"/>
                <w:color w:val="000000" w:themeColor="text1"/>
                <w:sz w:val="20"/>
                <w:szCs w:val="20"/>
                <w:lang w:val="en-US"/>
              </w:rPr>
              <w:t xml:space="preserve"> solvent but </w:t>
            </w:r>
            <w:r w:rsidR="00DD36F9">
              <w:rPr>
                <w:rFonts w:cs="Arial"/>
                <w:color w:val="000000" w:themeColor="text1"/>
                <w:sz w:val="20"/>
                <w:szCs w:val="20"/>
                <w:lang w:val="en-US"/>
              </w:rPr>
              <w:t xml:space="preserve">a number of </w:t>
            </w:r>
            <w:r w:rsidRPr="002B39BC">
              <w:rPr>
                <w:rFonts w:cs="Arial"/>
                <w:color w:val="000000" w:themeColor="text1"/>
                <w:sz w:val="20"/>
                <w:szCs w:val="20"/>
                <w:lang w:val="en-US"/>
              </w:rPr>
              <w:t>harmful additives</w:t>
            </w:r>
          </w:p>
        </w:tc>
        <w:tc>
          <w:tcPr>
            <w:tcW w:w="2917"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No potential harmful organic solvents used</w:t>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6</w:t>
            </w:r>
          </w:p>
        </w:tc>
        <w:tc>
          <w:tcPr>
            <w:tcW w:w="2835"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Energy </w:t>
            </w:r>
            <w:r w:rsidR="00F321E3" w:rsidRPr="002B39BC">
              <w:rPr>
                <w:rFonts w:cs="Arial"/>
                <w:color w:val="000000" w:themeColor="text1"/>
                <w:sz w:val="20"/>
                <w:szCs w:val="20"/>
                <w:lang w:val="en-US"/>
              </w:rPr>
              <w:t>e</w:t>
            </w:r>
            <w:r w:rsidRPr="002B39BC">
              <w:rPr>
                <w:rFonts w:cs="Arial"/>
                <w:color w:val="000000" w:themeColor="text1"/>
                <w:sz w:val="20"/>
                <w:szCs w:val="20"/>
                <w:lang w:val="en-US"/>
              </w:rPr>
              <w:t>fficiency</w:t>
            </w:r>
          </w:p>
        </w:tc>
        <w:tc>
          <w:tcPr>
            <w:tcW w:w="3002" w:type="dxa"/>
          </w:tcPr>
          <w:p w:rsidR="007F5E77" w:rsidRPr="002B39BC" w:rsidRDefault="00031D1D" w:rsidP="00A758AE">
            <w:pPr>
              <w:spacing w:before="120" w:line="276" w:lineRule="auto"/>
              <w:jc w:val="center"/>
              <w:rPr>
                <w:rFonts w:cs="Arial"/>
                <w:color w:val="000000" w:themeColor="text1"/>
                <w:sz w:val="20"/>
                <w:szCs w:val="20"/>
                <w:lang w:val="en-US"/>
              </w:rPr>
            </w:pPr>
            <w:r>
              <w:rPr>
                <w:rFonts w:cs="Arial"/>
                <w:color w:val="000000" w:themeColor="text1"/>
                <w:sz w:val="20"/>
                <w:szCs w:val="20"/>
                <w:lang w:val="en-US"/>
              </w:rPr>
              <w:t>No high temperature and ambient pressure</w:t>
            </w:r>
          </w:p>
        </w:tc>
        <w:tc>
          <w:tcPr>
            <w:tcW w:w="2917"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Several hours at elevated temperatures and ambient pressure</w:t>
            </w:r>
          </w:p>
        </w:tc>
      </w:tr>
      <w:tr w:rsidR="0071424E" w:rsidRPr="00B1390F" w:rsidTr="00831076">
        <w:tc>
          <w:tcPr>
            <w:tcW w:w="534" w:type="dxa"/>
          </w:tcPr>
          <w:p w:rsidR="007F5E77" w:rsidRPr="00DD36F9" w:rsidRDefault="007F5E77" w:rsidP="00A758AE">
            <w:pPr>
              <w:spacing w:before="120" w:line="276" w:lineRule="auto"/>
              <w:jc w:val="center"/>
              <w:rPr>
                <w:rFonts w:cs="Arial"/>
                <w:color w:val="000000" w:themeColor="text1"/>
                <w:sz w:val="20"/>
                <w:szCs w:val="20"/>
                <w:lang w:val="en-US"/>
              </w:rPr>
            </w:pPr>
            <w:r w:rsidRPr="00DD36F9">
              <w:rPr>
                <w:rFonts w:cs="Arial"/>
                <w:color w:val="000000" w:themeColor="text1"/>
                <w:sz w:val="20"/>
                <w:szCs w:val="20"/>
                <w:lang w:val="en-US"/>
              </w:rPr>
              <w:t>7</w:t>
            </w:r>
          </w:p>
        </w:tc>
        <w:tc>
          <w:tcPr>
            <w:tcW w:w="2835" w:type="dxa"/>
          </w:tcPr>
          <w:p w:rsidR="007F5E77" w:rsidRPr="00DD36F9" w:rsidRDefault="007F5E77" w:rsidP="00A758AE">
            <w:pPr>
              <w:spacing w:before="120" w:line="276" w:lineRule="auto"/>
              <w:jc w:val="center"/>
              <w:rPr>
                <w:rFonts w:cs="Arial"/>
                <w:color w:val="000000" w:themeColor="text1"/>
                <w:sz w:val="20"/>
                <w:szCs w:val="20"/>
                <w:lang w:val="en-US"/>
              </w:rPr>
            </w:pPr>
            <w:r w:rsidRPr="00DD36F9">
              <w:rPr>
                <w:rFonts w:cs="Arial"/>
                <w:color w:val="000000" w:themeColor="text1"/>
                <w:sz w:val="20"/>
                <w:szCs w:val="20"/>
                <w:lang w:val="en-US"/>
              </w:rPr>
              <w:t xml:space="preserve">Use of </w:t>
            </w:r>
            <w:r w:rsidR="00F321E3" w:rsidRPr="00DD36F9">
              <w:rPr>
                <w:rFonts w:cs="Arial"/>
                <w:color w:val="000000" w:themeColor="text1"/>
                <w:sz w:val="20"/>
                <w:szCs w:val="20"/>
                <w:lang w:val="en-US"/>
              </w:rPr>
              <w:t>r</w:t>
            </w:r>
            <w:r w:rsidRPr="00DD36F9">
              <w:rPr>
                <w:rFonts w:cs="Arial"/>
                <w:color w:val="000000" w:themeColor="text1"/>
                <w:sz w:val="20"/>
                <w:szCs w:val="20"/>
                <w:lang w:val="en-US"/>
              </w:rPr>
              <w:t xml:space="preserve">enewable </w:t>
            </w:r>
            <w:r w:rsidR="00F321E3" w:rsidRPr="00DD36F9">
              <w:rPr>
                <w:rFonts w:cs="Arial"/>
                <w:color w:val="000000" w:themeColor="text1"/>
                <w:sz w:val="20"/>
                <w:szCs w:val="20"/>
                <w:lang w:val="en-US"/>
              </w:rPr>
              <w:t>f</w:t>
            </w:r>
            <w:r w:rsidR="00DD36F9" w:rsidRPr="00DD36F9">
              <w:rPr>
                <w:rFonts w:cs="Arial"/>
                <w:color w:val="000000" w:themeColor="text1"/>
                <w:sz w:val="20"/>
                <w:szCs w:val="20"/>
                <w:lang w:val="en-US"/>
              </w:rPr>
              <w:t>eedstock</w:t>
            </w:r>
            <w:r w:rsidRPr="00DD36F9">
              <w:rPr>
                <w:rFonts w:cs="Arial"/>
                <w:color w:val="000000" w:themeColor="text1"/>
                <w:sz w:val="20"/>
                <w:szCs w:val="20"/>
                <w:lang w:val="en-US"/>
              </w:rPr>
              <w:t>s</w:t>
            </w:r>
          </w:p>
        </w:tc>
        <w:tc>
          <w:tcPr>
            <w:tcW w:w="3002" w:type="dxa"/>
          </w:tcPr>
          <w:p w:rsidR="007F5E77" w:rsidRPr="00DD36F9" w:rsidRDefault="00DD36F9" w:rsidP="00A758AE">
            <w:pPr>
              <w:spacing w:before="120" w:line="276" w:lineRule="auto"/>
              <w:jc w:val="center"/>
              <w:rPr>
                <w:rFonts w:cs="Arial"/>
                <w:color w:val="000000" w:themeColor="text1"/>
                <w:sz w:val="20"/>
                <w:szCs w:val="20"/>
                <w:lang w:val="en-US"/>
              </w:rPr>
            </w:pPr>
            <w:r w:rsidRPr="00DD36F9">
              <w:rPr>
                <w:rFonts w:cs="Arial"/>
                <w:color w:val="000000" w:themeColor="text1"/>
                <w:sz w:val="20"/>
                <w:szCs w:val="20"/>
                <w:lang w:val="en-US"/>
              </w:rPr>
              <w:t xml:space="preserve">Utilization </w:t>
            </w:r>
            <w:r w:rsidR="00F321E3" w:rsidRPr="00DD36F9">
              <w:rPr>
                <w:rFonts w:cs="Arial"/>
                <w:color w:val="000000" w:themeColor="text1"/>
                <w:sz w:val="20"/>
                <w:szCs w:val="20"/>
                <w:lang w:val="en-US"/>
              </w:rPr>
              <w:t>of biomass</w:t>
            </w:r>
            <w:r w:rsidRPr="00DD36F9">
              <w:rPr>
                <w:rFonts w:cs="Arial"/>
                <w:color w:val="000000" w:themeColor="text1"/>
                <w:sz w:val="20"/>
                <w:szCs w:val="20"/>
                <w:lang w:val="en-US"/>
              </w:rPr>
              <w:t xml:space="preserve"> for products of daily life</w:t>
            </w:r>
          </w:p>
        </w:tc>
        <w:tc>
          <w:tcPr>
            <w:tcW w:w="2917" w:type="dxa"/>
          </w:tcPr>
          <w:p w:rsidR="007F5E77" w:rsidRPr="00DD36F9" w:rsidRDefault="00F321E3" w:rsidP="00A758AE">
            <w:pPr>
              <w:spacing w:before="120" w:line="276" w:lineRule="auto"/>
              <w:jc w:val="center"/>
              <w:rPr>
                <w:rFonts w:cs="Arial"/>
                <w:color w:val="000000" w:themeColor="text1"/>
                <w:sz w:val="20"/>
                <w:szCs w:val="20"/>
                <w:lang w:val="en-US"/>
              </w:rPr>
            </w:pPr>
            <w:r w:rsidRPr="00DD36F9">
              <w:rPr>
                <w:rFonts w:cs="Arial"/>
                <w:color w:val="000000" w:themeColor="text1"/>
                <w:sz w:val="20"/>
                <w:szCs w:val="20"/>
                <w:lang w:val="en-US"/>
              </w:rPr>
              <w:t>Usage of biomass</w:t>
            </w:r>
            <w:r w:rsidR="007F5E77" w:rsidRPr="00DD36F9">
              <w:rPr>
                <w:rFonts w:cs="Arial"/>
                <w:color w:val="000000" w:themeColor="text1"/>
                <w:sz w:val="20"/>
                <w:szCs w:val="20"/>
                <w:lang w:val="en-US"/>
              </w:rPr>
              <w:t xml:space="preserve">, </w:t>
            </w:r>
            <w:r w:rsidRPr="00DD36F9">
              <w:rPr>
                <w:rFonts w:cs="Arial"/>
                <w:color w:val="000000" w:themeColor="text1"/>
                <w:sz w:val="20"/>
                <w:szCs w:val="20"/>
                <w:lang w:val="en-US"/>
              </w:rPr>
              <w:t xml:space="preserve">possibility of </w:t>
            </w:r>
            <w:r w:rsidR="007F5E77" w:rsidRPr="00DD36F9">
              <w:rPr>
                <w:rFonts w:cs="Arial"/>
                <w:color w:val="000000" w:themeColor="text1"/>
                <w:sz w:val="20"/>
                <w:szCs w:val="20"/>
                <w:lang w:val="en-US"/>
              </w:rPr>
              <w:t>bio-</w:t>
            </w:r>
            <w:proofErr w:type="spellStart"/>
            <w:r w:rsidR="007F5E77" w:rsidRPr="00DD36F9">
              <w:rPr>
                <w:rFonts w:cs="Arial"/>
                <w:color w:val="000000" w:themeColor="text1"/>
                <w:sz w:val="20"/>
                <w:szCs w:val="20"/>
                <w:lang w:val="en-US"/>
              </w:rPr>
              <w:t>derivated</w:t>
            </w:r>
            <w:proofErr w:type="spellEnd"/>
            <w:r w:rsidR="007F5E77" w:rsidRPr="00DD36F9">
              <w:rPr>
                <w:rFonts w:cs="Arial"/>
                <w:color w:val="000000" w:themeColor="text1"/>
                <w:sz w:val="20"/>
                <w:szCs w:val="20"/>
                <w:lang w:val="en-US"/>
              </w:rPr>
              <w:t xml:space="preserve"> ILs demonstrated</w:t>
            </w:r>
            <w:r w:rsidR="007F5E77" w:rsidRPr="00DD36F9">
              <w:rPr>
                <w:rFonts w:cs="Arial"/>
                <w:color w:val="000000" w:themeColor="text1"/>
                <w:sz w:val="20"/>
                <w:szCs w:val="20"/>
                <w:lang w:val="en-US"/>
              </w:rPr>
              <w:fldChar w:fldCharType="begin" w:fldLock="1"/>
            </w:r>
            <w:r w:rsidR="00B60EDC" w:rsidRPr="00DD36F9">
              <w:rPr>
                <w:rFonts w:cs="Arial"/>
                <w:color w:val="000000" w:themeColor="text1"/>
                <w:sz w:val="20"/>
                <w:szCs w:val="20"/>
                <w:lang w:val="en-US"/>
              </w:rPr>
              <w:instrText>ADDIN CSL_CITATION { "citationItems" : [ { "id" : "ITEM-1", "itemData" : { "DOI" : "10.1073/pnas.1405685111", "ISBN" : "0027-8424", "ISSN" : "0027-8424", "PMID" : "25136131", "abstract" : "Ionic liquids (ILs), solvents composed entirely of paired ions, have been used in a variety of process chemistry and renewable energy applications. Imidazolium-based ILs effectively dissolve biomass and represent a remarkable platform for biomass pretreatment. Although efficient, imidazolium cations are expensive and thus limited in their large-scale industrial deployment. To replace imidazolium-based ILs with those derived from renewable sources, we synthesized a series of tertiary amine-based ILs from aromatic aldehydes derived from lignin and hemicellulose, the major by-products of lignocellulosic biofuel production. Compositional analysis of switchgrass pretreated with ILs derived from vanillin, p-anisaldehyde, and furfural confirmed their efficacy. Enzymatic hydrolysis of pretreated switchgrass allowed for direct comparison of sugar yields and lignin removal between biomass-derived ILs and 1-ethyl-3-methylimidazolium acetate. Although the rate of cellulose hydrolysis for switchgrass pretreated with biomass-derived ILs was slightly slower than that of 1-ethyl-3-methylimidazolium acetate, 90-95% glucose and 70-75% xylose yields were obtained for these samples after 72-h incubation. Molecular modeling was used to compare IL solvent parameters with experimentally obtained compositional analysis data. Effective pretreatment of lignocellulose was further investigated by powder X-ray diffraction and glycome profiling of switchgrass cell walls. These studies showed different cellulose structural changes and differences in hemicellulose epitopes between switchgrass pretreatments with the aforementioned ILs. Our concept of deriving ILs from lignocellulosic biomass shows significant potential for the realization of a \"closed-loop\" process for future lignocellulosic biorefineries and has far-reaching economic impacts for other IL-based process technology currently using ILs synthesized from petroleum sources.", "author" : [ { "dropping-particle" : "", "family" : "Socha", "given" : "Aaron M", "non-dropping-particle" : "", "parse-names" : false, "suffix" : "" }, { "dropping-particle" : "", "family" : "Parthasarathi", "given" : "Ramakrishnan", "non-dropping-particle" : "", "parse-names" : false, "suffix" : "" }, { "dropping-particle" : "", "family" : "Shi", "given" : "Jian", "non-dropping-particle" : "", "parse-names" : false, "suffix" : "" }, { "dropping-particle" : "", "family" : "Pattathil", "given" : "Sivakumar", "non-dropping-particle" : "", "parse-names" : false, "suffix" : "" }, { "dropping-particle" : "", "family" : "Whyte", "given" : "Dorian", "non-dropping-particle" : "", "parse-names" : false, "suffix" : "" }, { "dropping-particle" : "", "family" : "Bergeron", "given" : "Maxime", "non-dropping-particle" : "", "parse-names" : false, "suffix" : "" }, { "dropping-particle" : "", "family" : "George", "given" : "Anthe", "non-dropping-particle" : "", "parse-names" : false, "suffix" : "" }, { "dropping-particle" : "", "family" : "Tran", "given" : "Kim", "non-dropping-particle" : "", "parse-names" : false, "suffix" : "" }, { "dropping-particle" : "", "family" : "Stavila", "given" : "Vitalie", "non-dropping-particle" : "", "parse-names" : false, "suffix" : "" }, { "dropping-particle" : "", "family" : "Venkatachalam", "given" : "Sivasankari", "non-dropping-particle" : "", "parse-names" : false, "suffix" : "" }, { "dropping-particle" : "", "family" : "Hahn", "given" : "Michael G", "non-dropping-particle" : "", "parse-names" : false, "suffix" : "" }, { "dropping-particle" : "", "family" : "Simmons", "given" : "Blake a", "non-dropping-particle" : "", "parse-names" : false, "suffix" : "" }, { "dropping-particle" : "", "family" : "Singh", "given" : "Seema", "non-dropping-particle" : "", "parse-names" : false, "suffix" : "" } ], "container-title" : "Proceedings of the National Academy of Sciences", "id" : "ITEM-1", "issue" : "35", "issued" : { "date-parts" : [ [ "2014", "9", "2" ] ] }, "page" : "E3587-E3595", "title" : "Efficient biomass pretreatment using ionic liquids derived from lignin and hemicellulose", "type" : "article-journal", "volume" : "111" }, "uris" : [ "http://www.mendeley.com/documents/?uuid=a5b82c3f-d9b3-47da-ae29-a851a1ce8675" ] } ], "mendeley" : { "formattedCitation" : "&lt;sup&gt;7&lt;/sup&gt;", "plainTextFormattedCitation" : "7", "previouslyFormattedCitation" : "&lt;sup&gt;7&lt;/sup&gt;" }, "properties" : { "noteIndex" : 0 }, "schema" : "https://github.com/citation-style-language/schema/raw/master/csl-citation.json" }</w:instrText>
            </w:r>
            <w:r w:rsidR="007F5E77" w:rsidRPr="00DD36F9">
              <w:rPr>
                <w:rFonts w:cs="Arial"/>
                <w:color w:val="000000" w:themeColor="text1"/>
                <w:sz w:val="20"/>
                <w:szCs w:val="20"/>
                <w:lang w:val="en-US"/>
              </w:rPr>
              <w:fldChar w:fldCharType="separate"/>
            </w:r>
            <w:r w:rsidR="00B60EDC" w:rsidRPr="00DD36F9">
              <w:rPr>
                <w:rFonts w:cs="Arial"/>
                <w:noProof/>
                <w:color w:val="000000" w:themeColor="text1"/>
                <w:sz w:val="20"/>
                <w:szCs w:val="20"/>
                <w:vertAlign w:val="superscript"/>
                <w:lang w:val="en-US"/>
              </w:rPr>
              <w:t>7</w:t>
            </w:r>
            <w:r w:rsidR="007F5E77" w:rsidRPr="00DD36F9">
              <w:rPr>
                <w:rFonts w:cs="Arial"/>
                <w:color w:val="000000" w:themeColor="text1"/>
                <w:sz w:val="20"/>
                <w:szCs w:val="20"/>
                <w:lang w:val="en-US"/>
              </w:rPr>
              <w:fldChar w:fldCharType="end"/>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8</w:t>
            </w:r>
          </w:p>
        </w:tc>
        <w:tc>
          <w:tcPr>
            <w:tcW w:w="2835" w:type="dxa"/>
          </w:tcPr>
          <w:p w:rsidR="007F5E77" w:rsidRPr="002B39BC" w:rsidRDefault="007F5E77" w:rsidP="00A758AE">
            <w:pPr>
              <w:tabs>
                <w:tab w:val="left" w:pos="1020"/>
              </w:tabs>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Reduce </w:t>
            </w:r>
            <w:r w:rsidR="00831076" w:rsidRPr="002B39BC">
              <w:rPr>
                <w:rFonts w:cs="Arial"/>
                <w:color w:val="000000" w:themeColor="text1"/>
                <w:sz w:val="20"/>
                <w:szCs w:val="20"/>
                <w:lang w:val="en-US"/>
              </w:rPr>
              <w:t>d</w:t>
            </w:r>
            <w:r w:rsidRPr="002B39BC">
              <w:rPr>
                <w:rFonts w:cs="Arial"/>
                <w:color w:val="000000" w:themeColor="text1"/>
                <w:sz w:val="20"/>
                <w:szCs w:val="20"/>
                <w:lang w:val="en-US"/>
              </w:rPr>
              <w:t>erivatives</w:t>
            </w:r>
          </w:p>
        </w:tc>
        <w:tc>
          <w:tcPr>
            <w:tcW w:w="3002" w:type="dxa"/>
          </w:tcPr>
          <w:p w:rsidR="007F5E77" w:rsidRPr="002B39BC" w:rsidRDefault="00F321E3" w:rsidP="00DD36F9">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Non-o</w:t>
            </w:r>
            <w:r w:rsidR="00DD36F9">
              <w:rPr>
                <w:rFonts w:cs="Arial"/>
                <w:color w:val="000000" w:themeColor="text1"/>
                <w:sz w:val="20"/>
                <w:szCs w:val="20"/>
                <w:lang w:val="en-US"/>
              </w:rPr>
              <w:t>ptional</w:t>
            </w:r>
            <w:r w:rsidRPr="002B39BC">
              <w:rPr>
                <w:rFonts w:cs="Arial"/>
                <w:color w:val="000000" w:themeColor="text1"/>
                <w:sz w:val="20"/>
                <w:szCs w:val="20"/>
                <w:lang w:val="en-US"/>
              </w:rPr>
              <w:t xml:space="preserve"> derivatiz</w:t>
            </w:r>
            <w:r w:rsidR="00A124C1">
              <w:rPr>
                <w:rFonts w:cs="Arial"/>
                <w:color w:val="000000" w:themeColor="text1"/>
                <w:sz w:val="20"/>
                <w:szCs w:val="20"/>
                <w:lang w:val="en-US"/>
              </w:rPr>
              <w:t xml:space="preserve">ation steps to cellulose xanthate </w:t>
            </w:r>
          </w:p>
        </w:tc>
        <w:tc>
          <w:tcPr>
            <w:tcW w:w="2917"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No derivatization (no chemical transformation)</w:t>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9</w:t>
            </w:r>
          </w:p>
        </w:tc>
        <w:tc>
          <w:tcPr>
            <w:tcW w:w="2835"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Catalysis</w:t>
            </w:r>
          </w:p>
        </w:tc>
        <w:tc>
          <w:tcPr>
            <w:tcW w:w="3002" w:type="dxa"/>
          </w:tcPr>
          <w:p w:rsidR="007F5E77" w:rsidRPr="002B39BC" w:rsidRDefault="00F321E3"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Not applied</w:t>
            </w:r>
            <w:r w:rsidR="00DD36F9">
              <w:rPr>
                <w:rFonts w:cs="Arial"/>
                <w:color w:val="000000" w:themeColor="text1"/>
                <w:sz w:val="20"/>
                <w:szCs w:val="20"/>
                <w:lang w:val="en-US"/>
              </w:rPr>
              <w:t xml:space="preserve"> </w:t>
            </w:r>
            <w:r w:rsidR="00DD36F9" w:rsidRPr="002B39BC">
              <w:rPr>
                <w:rFonts w:cs="Arial"/>
                <w:color w:val="000000" w:themeColor="text1"/>
                <w:sz w:val="20"/>
                <w:szCs w:val="20"/>
                <w:lang w:val="en-US"/>
              </w:rPr>
              <w:t>(no chemical transformation)</w:t>
            </w:r>
          </w:p>
        </w:tc>
        <w:tc>
          <w:tcPr>
            <w:tcW w:w="2917"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Not applied (no chemical transformation)</w:t>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10</w:t>
            </w:r>
          </w:p>
        </w:tc>
        <w:tc>
          <w:tcPr>
            <w:tcW w:w="2835"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Design for </w:t>
            </w:r>
            <w:r w:rsidR="00F321E3" w:rsidRPr="002B39BC">
              <w:rPr>
                <w:rFonts w:cs="Arial"/>
                <w:color w:val="000000" w:themeColor="text1"/>
                <w:sz w:val="20"/>
                <w:szCs w:val="20"/>
                <w:lang w:val="en-US"/>
              </w:rPr>
              <w:t>d</w:t>
            </w:r>
            <w:r w:rsidRPr="002B39BC">
              <w:rPr>
                <w:rFonts w:cs="Arial"/>
                <w:color w:val="000000" w:themeColor="text1"/>
                <w:sz w:val="20"/>
                <w:szCs w:val="20"/>
                <w:lang w:val="en-US"/>
              </w:rPr>
              <w:t>egradation</w:t>
            </w:r>
          </w:p>
        </w:tc>
        <w:tc>
          <w:tcPr>
            <w:tcW w:w="3002" w:type="dxa"/>
          </w:tcPr>
          <w:p w:rsidR="007F5E77" w:rsidRPr="002B39BC" w:rsidRDefault="00F321E3"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No biodegradation implied</w:t>
            </w:r>
          </w:p>
        </w:tc>
        <w:tc>
          <w:tcPr>
            <w:tcW w:w="2917"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Biodegradable ILs are reported</w:t>
            </w:r>
          </w:p>
        </w:tc>
      </w:tr>
      <w:tr w:rsidR="0071424E" w:rsidRPr="00B1390F" w:rsidTr="00831076">
        <w:tc>
          <w:tcPr>
            <w:tcW w:w="534"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11</w:t>
            </w:r>
          </w:p>
        </w:tc>
        <w:tc>
          <w:tcPr>
            <w:tcW w:w="2835"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Real-time analysis for </w:t>
            </w:r>
            <w:r w:rsidR="00F321E3" w:rsidRPr="002B39BC">
              <w:rPr>
                <w:rFonts w:cs="Arial"/>
                <w:color w:val="000000" w:themeColor="text1"/>
                <w:sz w:val="20"/>
                <w:szCs w:val="20"/>
                <w:lang w:val="en-US"/>
              </w:rPr>
              <w:t>p</w:t>
            </w:r>
            <w:r w:rsidRPr="002B39BC">
              <w:rPr>
                <w:rFonts w:cs="Arial"/>
                <w:color w:val="000000" w:themeColor="text1"/>
                <w:sz w:val="20"/>
                <w:szCs w:val="20"/>
                <w:lang w:val="en-US"/>
              </w:rPr>
              <w:t xml:space="preserve">ollution </w:t>
            </w:r>
            <w:r w:rsidR="00831076" w:rsidRPr="002B39BC">
              <w:rPr>
                <w:rFonts w:cs="Arial"/>
                <w:color w:val="000000" w:themeColor="text1"/>
                <w:sz w:val="20"/>
                <w:szCs w:val="20"/>
                <w:lang w:val="en-US"/>
              </w:rPr>
              <w:t>p</w:t>
            </w:r>
            <w:r w:rsidRPr="002B39BC">
              <w:rPr>
                <w:rFonts w:cs="Arial"/>
                <w:color w:val="000000" w:themeColor="text1"/>
                <w:sz w:val="20"/>
                <w:szCs w:val="20"/>
                <w:lang w:val="en-US"/>
              </w:rPr>
              <w:t>revention</w:t>
            </w:r>
          </w:p>
        </w:tc>
        <w:tc>
          <w:tcPr>
            <w:tcW w:w="3002"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In principle applicable</w:t>
            </w:r>
          </w:p>
        </w:tc>
        <w:tc>
          <w:tcPr>
            <w:tcW w:w="2917" w:type="dxa"/>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In principle applicable</w:t>
            </w:r>
          </w:p>
        </w:tc>
      </w:tr>
      <w:tr w:rsidR="0071424E" w:rsidRPr="00B1390F" w:rsidTr="00831076">
        <w:tc>
          <w:tcPr>
            <w:tcW w:w="534" w:type="dxa"/>
            <w:tcBorders>
              <w:bottom w:val="single" w:sz="4" w:space="0" w:color="auto"/>
            </w:tcBorders>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12</w:t>
            </w:r>
          </w:p>
        </w:tc>
        <w:tc>
          <w:tcPr>
            <w:tcW w:w="2835" w:type="dxa"/>
            <w:tcBorders>
              <w:bottom w:val="single" w:sz="4" w:space="0" w:color="auto"/>
            </w:tcBorders>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Inherently </w:t>
            </w:r>
            <w:r w:rsidR="00F321E3" w:rsidRPr="002B39BC">
              <w:rPr>
                <w:rFonts w:cs="Arial"/>
                <w:color w:val="000000" w:themeColor="text1"/>
                <w:sz w:val="20"/>
                <w:szCs w:val="20"/>
                <w:lang w:val="en-US"/>
              </w:rPr>
              <w:t>s</w:t>
            </w:r>
            <w:r w:rsidRPr="002B39BC">
              <w:rPr>
                <w:rFonts w:cs="Arial"/>
                <w:color w:val="000000" w:themeColor="text1"/>
                <w:sz w:val="20"/>
                <w:szCs w:val="20"/>
                <w:lang w:val="en-US"/>
              </w:rPr>
              <w:t xml:space="preserve">afer </w:t>
            </w:r>
            <w:r w:rsidR="00F321E3" w:rsidRPr="002B39BC">
              <w:rPr>
                <w:rFonts w:cs="Arial"/>
                <w:color w:val="000000" w:themeColor="text1"/>
                <w:sz w:val="20"/>
                <w:szCs w:val="20"/>
                <w:lang w:val="en-US"/>
              </w:rPr>
              <w:t>c</w:t>
            </w:r>
            <w:r w:rsidRPr="002B39BC">
              <w:rPr>
                <w:rFonts w:cs="Arial"/>
                <w:color w:val="000000" w:themeColor="text1"/>
                <w:sz w:val="20"/>
                <w:szCs w:val="20"/>
                <w:lang w:val="en-US"/>
              </w:rPr>
              <w:t xml:space="preserve">hemistry for </w:t>
            </w:r>
            <w:r w:rsidR="00F321E3" w:rsidRPr="002B39BC">
              <w:rPr>
                <w:rFonts w:cs="Arial"/>
                <w:color w:val="000000" w:themeColor="text1"/>
                <w:sz w:val="20"/>
                <w:szCs w:val="20"/>
                <w:lang w:val="en-US"/>
              </w:rPr>
              <w:t>a</w:t>
            </w:r>
            <w:r w:rsidRPr="002B39BC">
              <w:rPr>
                <w:rFonts w:cs="Arial"/>
                <w:color w:val="000000" w:themeColor="text1"/>
                <w:sz w:val="20"/>
                <w:szCs w:val="20"/>
                <w:lang w:val="en-US"/>
              </w:rPr>
              <w:t xml:space="preserve">ccident </w:t>
            </w:r>
            <w:r w:rsidR="00F321E3" w:rsidRPr="002B39BC">
              <w:rPr>
                <w:rFonts w:cs="Arial"/>
                <w:color w:val="000000" w:themeColor="text1"/>
                <w:sz w:val="20"/>
                <w:szCs w:val="20"/>
                <w:lang w:val="en-US"/>
              </w:rPr>
              <w:t>p</w:t>
            </w:r>
            <w:r w:rsidRPr="002B39BC">
              <w:rPr>
                <w:rFonts w:cs="Arial"/>
                <w:color w:val="000000" w:themeColor="text1"/>
                <w:sz w:val="20"/>
                <w:szCs w:val="20"/>
                <w:lang w:val="en-US"/>
              </w:rPr>
              <w:t>revention</w:t>
            </w:r>
          </w:p>
        </w:tc>
        <w:tc>
          <w:tcPr>
            <w:tcW w:w="3002" w:type="dxa"/>
            <w:tcBorders>
              <w:bottom w:val="single" w:sz="4" w:space="0" w:color="auto"/>
            </w:tcBorders>
          </w:tcPr>
          <w:p w:rsidR="007F5E77" w:rsidRPr="002B39BC" w:rsidRDefault="00F321E3"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Volatile, inflammable,</w:t>
            </w:r>
            <w:r w:rsidR="007F5E77" w:rsidRPr="002B39BC">
              <w:rPr>
                <w:rFonts w:cs="Arial"/>
                <w:color w:val="000000" w:themeColor="text1"/>
                <w:sz w:val="20"/>
                <w:szCs w:val="20"/>
                <w:lang w:val="en-US"/>
              </w:rPr>
              <w:t xml:space="preserve"> toxic and corrosive chemicals pose treats</w:t>
            </w:r>
          </w:p>
        </w:tc>
        <w:tc>
          <w:tcPr>
            <w:tcW w:w="2917" w:type="dxa"/>
            <w:tcBorders>
              <w:bottom w:val="single" w:sz="4" w:space="0" w:color="auto"/>
            </w:tcBorders>
          </w:tcPr>
          <w:p w:rsidR="007F5E77" w:rsidRPr="002B39BC" w:rsidRDefault="007F5E77" w:rsidP="00A758AE">
            <w:pPr>
              <w:spacing w:before="120" w:line="276" w:lineRule="auto"/>
              <w:jc w:val="center"/>
              <w:rPr>
                <w:rFonts w:cs="Arial"/>
                <w:color w:val="000000" w:themeColor="text1"/>
                <w:sz w:val="20"/>
                <w:szCs w:val="20"/>
                <w:lang w:val="en-US"/>
              </w:rPr>
            </w:pPr>
            <w:r w:rsidRPr="002B39BC">
              <w:rPr>
                <w:rFonts w:cs="Arial"/>
                <w:color w:val="000000" w:themeColor="text1"/>
                <w:sz w:val="20"/>
                <w:szCs w:val="20"/>
                <w:lang w:val="en-US"/>
              </w:rPr>
              <w:t xml:space="preserve">Minimized hazard potential </w:t>
            </w:r>
            <w:r w:rsidR="00831076" w:rsidRPr="002B39BC">
              <w:rPr>
                <w:rFonts w:cs="Arial"/>
                <w:color w:val="000000" w:themeColor="text1"/>
                <w:sz w:val="20"/>
                <w:szCs w:val="20"/>
                <w:lang w:val="en-US"/>
              </w:rPr>
              <w:t xml:space="preserve">through </w:t>
            </w:r>
            <w:r w:rsidRPr="002B39BC">
              <w:rPr>
                <w:rFonts w:cs="Arial"/>
                <w:color w:val="000000" w:themeColor="text1"/>
                <w:sz w:val="20"/>
                <w:szCs w:val="20"/>
                <w:lang w:val="en-US"/>
              </w:rPr>
              <w:t>less toxic,</w:t>
            </w:r>
            <w:r w:rsidR="00831076" w:rsidRPr="002B39BC">
              <w:rPr>
                <w:rFonts w:cs="Arial"/>
                <w:color w:val="000000" w:themeColor="text1"/>
                <w:sz w:val="20"/>
                <w:szCs w:val="20"/>
                <w:lang w:val="en-US"/>
              </w:rPr>
              <w:t xml:space="preserve"> non-volatile,</w:t>
            </w:r>
            <w:r w:rsidRPr="002B39BC">
              <w:rPr>
                <w:rFonts w:cs="Arial"/>
                <w:color w:val="000000" w:themeColor="text1"/>
                <w:sz w:val="20"/>
                <w:szCs w:val="20"/>
                <w:lang w:val="en-US"/>
              </w:rPr>
              <w:t xml:space="preserve"> non-inflammable solvents</w:t>
            </w:r>
          </w:p>
        </w:tc>
      </w:tr>
    </w:tbl>
    <w:p w:rsidR="004C70F7" w:rsidRPr="003E0811" w:rsidRDefault="004C70F7">
      <w:pPr>
        <w:rPr>
          <w:rFonts w:cs="Arial"/>
          <w:lang w:val="en-US"/>
        </w:rPr>
      </w:pPr>
    </w:p>
    <w:p w:rsidR="00472ACF" w:rsidRPr="003E0811" w:rsidRDefault="00472ACF">
      <w:pPr>
        <w:rPr>
          <w:rFonts w:cs="Arial"/>
          <w:lang w:val="en-US"/>
        </w:rPr>
      </w:pPr>
      <w:r w:rsidRPr="003E0811">
        <w:rPr>
          <w:rFonts w:cs="Arial"/>
          <w:lang w:val="en-US"/>
        </w:rPr>
        <w:br w:type="page"/>
      </w:r>
    </w:p>
    <w:p w:rsidR="00831076" w:rsidRDefault="00831076" w:rsidP="00A758AE">
      <w:pPr>
        <w:pStyle w:val="berschrift2"/>
        <w:rPr>
          <w:rFonts w:ascii="Arial" w:hAnsi="Arial"/>
          <w:lang w:val="en-US"/>
        </w:rPr>
      </w:pPr>
      <w:bookmarkStart w:id="17" w:name="_Toc490738022"/>
      <w:r w:rsidRPr="003E0811">
        <w:rPr>
          <w:lang w:val="en-US"/>
        </w:rPr>
        <w:lastRenderedPageBreak/>
        <w:t>3.2.3 Biopolymers based o</w:t>
      </w:r>
      <w:r>
        <w:rPr>
          <w:rFonts w:ascii="Arial" w:hAnsi="Arial"/>
          <w:lang w:val="en-US"/>
        </w:rPr>
        <w:t>n lignin</w:t>
      </w:r>
      <w:bookmarkEnd w:id="17"/>
    </w:p>
    <w:p w:rsidR="003549A7" w:rsidRPr="00A758AE" w:rsidRDefault="003549A7" w:rsidP="00831076">
      <w:pPr>
        <w:jc w:val="both"/>
        <w:rPr>
          <w:rFonts w:cs="Arial"/>
          <w:lang w:val="en-US"/>
        </w:rPr>
      </w:pPr>
      <w:r w:rsidRPr="00A758AE">
        <w:rPr>
          <w:rFonts w:cs="Arial"/>
          <w:lang w:val="en-US"/>
        </w:rPr>
        <w:t xml:space="preserve">The material usage of lignin is of great industrial interest as it allows the generation of value added products instead of the underutilization as </w:t>
      </w:r>
      <w:r w:rsidR="0004181F">
        <w:rPr>
          <w:rFonts w:cs="Arial"/>
          <w:lang w:val="en-US"/>
        </w:rPr>
        <w:t>combustion material</w:t>
      </w:r>
      <w:r w:rsidRPr="00A758AE">
        <w:rPr>
          <w:rFonts w:cs="Arial"/>
          <w:lang w:val="en-US"/>
        </w:rPr>
        <w:t>. Beside the usage as renewable</w:t>
      </w:r>
      <w:r w:rsidR="003D565B" w:rsidRPr="00A758AE">
        <w:rPr>
          <w:rFonts w:cs="Arial"/>
          <w:lang w:val="en-US"/>
        </w:rPr>
        <w:t>, fossil-fuel independent</w:t>
      </w:r>
      <w:r w:rsidRPr="00A758AE">
        <w:rPr>
          <w:rFonts w:cs="Arial"/>
          <w:lang w:val="en-US"/>
        </w:rPr>
        <w:t xml:space="preserve"> feedstock of aromatic compounds the implementation as biological macro</w:t>
      </w:r>
      <w:r w:rsidR="00616D97">
        <w:rPr>
          <w:rFonts w:cs="Arial"/>
          <w:lang w:val="en-US"/>
        </w:rPr>
        <w:t>-</w:t>
      </w:r>
      <w:r w:rsidRPr="00A758AE">
        <w:rPr>
          <w:rFonts w:cs="Arial"/>
          <w:lang w:val="en-US"/>
        </w:rPr>
        <w:t>monomer seems to be the most promising practical usage. Especially the biodegradability</w:t>
      </w:r>
      <w:r w:rsidR="0004181F">
        <w:rPr>
          <w:rFonts w:cs="Arial"/>
          <w:lang w:val="en-US"/>
        </w:rPr>
        <w:t xml:space="preserve"> and cost-efficiency</w:t>
      </w:r>
      <w:r w:rsidRPr="00A758AE">
        <w:rPr>
          <w:rFonts w:cs="Arial"/>
          <w:lang w:val="en-US"/>
        </w:rPr>
        <w:t xml:space="preserve"> of lignin and polymers based on this phenolic compound is a promising </w:t>
      </w:r>
      <w:r w:rsidR="003D565B" w:rsidRPr="00A758AE">
        <w:rPr>
          <w:rFonts w:cs="Arial"/>
          <w:lang w:val="en-US"/>
        </w:rPr>
        <w:t>benefit for the sustainability of this products.</w:t>
      </w:r>
      <w:r w:rsidR="003D565B" w:rsidRPr="00A758AE">
        <w:rPr>
          <w:rFonts w:cs="Arial"/>
          <w:lang w:val="en-US"/>
        </w:rPr>
        <w:fldChar w:fldCharType="begin" w:fldLock="1"/>
      </w:r>
      <w:r w:rsidR="003D565B" w:rsidRPr="00A758AE">
        <w:rPr>
          <w:rFonts w:cs="Arial"/>
          <w:lang w:val="en-US"/>
        </w:rPr>
        <w:instrText>ADDIN CSL_CITATION { "citationItems" : [ { "id" : "ITEM-1", "itemData" : { "DOI" : "10.1021/acs.chemrev.5b00345", "ISSN" : "0009-2665", "abstract" : "The majority of commodity plastics and materials are derived from petroleum-based chemicals, illustrating the strong dependence on products derived from non-renewable energy sources. As the most accessible, renewable form of carbon (in comparison to CO2), lignocellulosic biomass (defined as organic matter available on a renewable basis) has been acknowledged as the most logical carbon-based feedstock for a variety of materials such as biofuels and chemicals. This Review focuses on methods developed to synthesize polymers derived from lignin, monolignols, and lignin-derived chemicals. Major topics include the structure and processing of lignocellulosic biomass to lignin, polymers utilizing lignin as a macromonomer, synthesis of monomers and polymers from monolignols, and polymers from lignin-derived chemicals, such as vanillin.", "author" : [ { "dropping-particle" : "", "family" : "Upton", "given" : "Brianna M.", "non-dropping-particle" : "", "parse-names" : false, "suffix" : "" }, { "dropping-particle" : "", "family" : "Kasko", "given" : "Andrea M.", "non-dropping-particle" : "", "parse-names" : false, "suffix" : "" } ], "container-title" : "Chemical Reviews", "id" : "ITEM-1", "issue" : "4", "issued" : { "date-parts" : [ [ "2016", "2", "24" ] ] }, "page" : "2275-2306", "title" : "Strategies for the Conversion of Lignin to High-Value Polymeric Materials: Review and Perspective", "type" : "article-journal", "volume" : "116" }, "uris" : [ "http://www.mendeley.com/documents/?uuid=2cae22a4-ab51-4881-a498-2b5c5f606d73" ] } ], "mendeley" : { "formattedCitation" : "&lt;sup&gt;12&lt;/sup&gt;", "plainTextFormattedCitation" : "12", "previouslyFormattedCitation" : "&lt;sup&gt;12&lt;/sup&gt;" }, "properties" : { "noteIndex" : 0 }, "schema" : "https://github.com/citation-style-language/schema/raw/master/csl-citation.json" }</w:instrText>
      </w:r>
      <w:r w:rsidR="003D565B" w:rsidRPr="00A758AE">
        <w:rPr>
          <w:rFonts w:cs="Arial"/>
          <w:lang w:val="en-US"/>
        </w:rPr>
        <w:fldChar w:fldCharType="separate"/>
      </w:r>
      <w:r w:rsidR="003D565B" w:rsidRPr="00A758AE">
        <w:rPr>
          <w:rFonts w:cs="Arial"/>
          <w:noProof/>
          <w:vertAlign w:val="superscript"/>
          <w:lang w:val="en-US"/>
        </w:rPr>
        <w:t>12</w:t>
      </w:r>
      <w:r w:rsidR="003D565B" w:rsidRPr="00A758AE">
        <w:rPr>
          <w:rFonts w:cs="Arial"/>
          <w:lang w:val="en-US"/>
        </w:rPr>
        <w:fldChar w:fldCharType="end"/>
      </w:r>
      <w:r w:rsidR="003D565B" w:rsidRPr="00A758AE">
        <w:rPr>
          <w:rFonts w:cs="Arial"/>
          <w:lang w:val="en-US"/>
        </w:rPr>
        <w:t xml:space="preserve"> </w:t>
      </w:r>
      <w:r w:rsidR="0004181F">
        <w:rPr>
          <w:rFonts w:cs="Arial"/>
          <w:lang w:val="en-US"/>
        </w:rPr>
        <w:t xml:space="preserve">The high chemical resistance and UV-absorption of lignin may further introduce demanded properties to the final polymers. </w:t>
      </w:r>
      <w:r w:rsidR="003D565B" w:rsidRPr="00A758AE">
        <w:rPr>
          <w:rFonts w:cs="Arial"/>
          <w:lang w:val="en-US"/>
        </w:rPr>
        <w:t>The unique branche</w:t>
      </w:r>
      <w:r w:rsidR="00616D97">
        <w:rPr>
          <w:rFonts w:cs="Arial"/>
          <w:lang w:val="en-US"/>
        </w:rPr>
        <w:t>d</w:t>
      </w:r>
      <w:r w:rsidR="003D565B" w:rsidRPr="00A758AE">
        <w:rPr>
          <w:rFonts w:cs="Arial"/>
          <w:lang w:val="en-US"/>
        </w:rPr>
        <w:t xml:space="preserve"> aromatic structure of lignin makes it</w:t>
      </w:r>
      <w:r w:rsidR="00616D97">
        <w:rPr>
          <w:rFonts w:cs="Arial"/>
          <w:lang w:val="en-US"/>
        </w:rPr>
        <w:t>,</w:t>
      </w:r>
      <w:r w:rsidR="003D565B" w:rsidRPr="00A758AE">
        <w:rPr>
          <w:rFonts w:cs="Arial"/>
          <w:lang w:val="en-US"/>
        </w:rPr>
        <w:t xml:space="preserve"> for example</w:t>
      </w:r>
      <w:r w:rsidR="00616D97">
        <w:rPr>
          <w:rFonts w:cs="Arial"/>
          <w:lang w:val="en-US"/>
        </w:rPr>
        <w:t>,</w:t>
      </w:r>
      <w:r w:rsidR="003D565B" w:rsidRPr="00A758AE">
        <w:rPr>
          <w:rFonts w:cs="Arial"/>
          <w:lang w:val="en-US"/>
        </w:rPr>
        <w:t xml:space="preserve"> a promising candidate for plastics</w:t>
      </w:r>
      <w:r w:rsidR="009939DC" w:rsidRPr="00A758AE">
        <w:rPr>
          <w:rFonts w:cs="Arial"/>
          <w:lang w:val="en-US"/>
        </w:rPr>
        <w:t xml:space="preserve"> or the substitution of synthetic polymers</w:t>
      </w:r>
      <w:r w:rsidR="003D565B" w:rsidRPr="00A758AE">
        <w:rPr>
          <w:rFonts w:cs="Arial"/>
          <w:lang w:val="en-US"/>
        </w:rPr>
        <w:t>.</w:t>
      </w:r>
      <w:r w:rsidR="003D565B" w:rsidRPr="00A758AE">
        <w:rPr>
          <w:rFonts w:cs="Arial"/>
          <w:lang w:val="en-US"/>
        </w:rPr>
        <w:fldChar w:fldCharType="begin" w:fldLock="1"/>
      </w:r>
      <w:r w:rsidR="009939DC" w:rsidRPr="00A758AE">
        <w:rPr>
          <w:rFonts w:cs="Arial"/>
          <w:lang w:val="en-US"/>
        </w:rPr>
        <w:instrText>ADDIN CSL_CITATION { "citationItems" : [ { "id" : "ITEM-1", "itemData" : { "DOI" : "10.1002/mame.201500310", "ISBN" : "14387492", "ISSN" : "14387492", "author" : [ { "dropping-particle" : "", "family" : "Sun", "given" : "Jiaotong", "non-dropping-particle" : "", "parse-names" : false, "suffix" : "" }, { "dropping-particle" : "", "family" : "Wang", "given" : "Cun", "non-dropping-particle" : "", "parse-names" : false, "suffix" : "" }, { "dropping-particle" : "", "family" : "Yeo", "given" : "Jayven Chee Chuan", "non-dropping-particle" : "", "parse-names" : false, "suffix" : "" }, { "dropping-particle" : "", "family" : "Yuan", "given" : "Du", "non-dropping-particle" : "", "parse-names" : false, "suffix" : "" }, { "dropping-particle" : "", "family" : "Li", "given" : "Hui", "non-dropping-particle" : "", "parse-names" : false, "suffix" : "" }, { "dropping-particle" : "", "family" : "Stubbs", "given" : "Ludger P.", "non-dropping-particle" : "", "parse-names" : false, "suffix" : "" }, { "dropping-particle" : "", "family" : "He", "given" : "Chaobin", "non-dropping-particle" : "", "parse-names" : false, "suffix" : "" } ], "container-title" : "Macromolecular Materials and Engineering", "id" : "ITEM-1", "issue" : "3", "issued" : { "date-parts" : [ [ "2016", "3" ] ] }, "page" : "328-336", "title" : "Lignin Epoxy Composites: Preparation, Morphology, and Mechanical Properties", "type" : "article-journal", "volume" : "301" }, "uris" : [ "http://www.mendeley.com/documents/?uuid=1da46a3a-ec9b-4559-ab81-ef4b8e898b1b" ] } ], "mendeley" : { "formattedCitation" : "&lt;sup&gt;13&lt;/sup&gt;", "plainTextFormattedCitation" : "13", "previouslyFormattedCitation" : "&lt;sup&gt;13&lt;/sup&gt;" }, "properties" : { "noteIndex" : 0 }, "schema" : "https://github.com/citation-style-language/schema/raw/master/csl-citation.json" }</w:instrText>
      </w:r>
      <w:r w:rsidR="003D565B" w:rsidRPr="00A758AE">
        <w:rPr>
          <w:rFonts w:cs="Arial"/>
          <w:lang w:val="en-US"/>
        </w:rPr>
        <w:fldChar w:fldCharType="separate"/>
      </w:r>
      <w:r w:rsidR="003D565B" w:rsidRPr="00A758AE">
        <w:rPr>
          <w:rFonts w:cs="Arial"/>
          <w:noProof/>
          <w:vertAlign w:val="superscript"/>
          <w:lang w:val="en-US"/>
        </w:rPr>
        <w:t>13</w:t>
      </w:r>
      <w:r w:rsidR="003D565B" w:rsidRPr="00A758AE">
        <w:rPr>
          <w:rFonts w:cs="Arial"/>
          <w:lang w:val="en-US"/>
        </w:rPr>
        <w:fldChar w:fldCharType="end"/>
      </w:r>
      <w:r w:rsidR="009939DC" w:rsidRPr="00A758AE">
        <w:rPr>
          <w:rFonts w:cs="Arial"/>
          <w:lang w:val="en-US"/>
        </w:rPr>
        <w:t xml:space="preserve"> With ionic liquids recognized as new and tailorable solvents for even high weight </w:t>
      </w:r>
      <w:r w:rsidR="0004181F">
        <w:rPr>
          <w:rFonts w:cs="Arial"/>
          <w:lang w:val="en-US"/>
        </w:rPr>
        <w:t>percentages of different types of lignin</w:t>
      </w:r>
      <w:r w:rsidR="009939DC" w:rsidRPr="00A758AE">
        <w:rPr>
          <w:rFonts w:cs="Arial"/>
          <w:lang w:val="en-US"/>
        </w:rPr>
        <w:t xml:space="preserve"> and other biopolymers new opportunities for novel macromolecular compounds </w:t>
      </w:r>
      <w:r w:rsidR="009939DC" w:rsidRPr="004404FB">
        <w:rPr>
          <w:rFonts w:cs="Arial"/>
          <w:lang w:val="en-US"/>
        </w:rPr>
        <w:t xml:space="preserve">and processes </w:t>
      </w:r>
      <w:r w:rsidR="009939DC" w:rsidRPr="00A758AE">
        <w:rPr>
          <w:rFonts w:cs="Arial"/>
          <w:lang w:val="en-US"/>
        </w:rPr>
        <w:t>are arising.</w:t>
      </w:r>
      <w:r w:rsidR="009939DC" w:rsidRPr="00A758AE">
        <w:rPr>
          <w:rFonts w:cs="Arial"/>
          <w:lang w:val="en-US"/>
        </w:rPr>
        <w:fldChar w:fldCharType="begin" w:fldLock="1"/>
      </w:r>
      <w:r w:rsidR="009939DC" w:rsidRPr="00A758AE">
        <w:rPr>
          <w:rFonts w:cs="Arial"/>
          <w:lang w:val="en-US"/>
        </w:rPr>
        <w:instrText>ADDIN CSL_CITATION { "citationItems" : [ { "id" : "ITEM-1", "itemData" : { "DOI" : "10.1016/j.biortech.2008.11.044", "ISBN" : "0960-8524", "ISSN" : "09608524", "PMID" : "19138843", "abstract" : "A series of novel biobased composite films derived from cellulose, starch and lignin were prepared from an ionic liquid (IL), 1-allyl-3-methylimidazolium chloride (AmimCl) by coagulating in a nonsolvent condition. The ionic liquid can be recycled with a high yield and purity after the green film was prepared. The uniform design method was applied to investigate mechanical properties of the biobased composite films. The effect of each component and their associated interactive effects were investigated. The experimental results showed that contents of cellulose, lignin and starch had a significant influence on the mechanical properties of composite films. The composite films showed relatively excellent mechanical properties in dry and wet states owing to the mutual property supplement of different components. The composite films were characterized via FT-IR, X-ray diffraction (XRD) and scanning electron microscope (SEM). Their thermal stability and gas permeability were also investigated, and the results showed that the composite films had good thermal stability and high gas barrier capacity and give a CO2:O2 permeability ratio close to 1. \u00a9 2008 Elsevier Ltd. All rights reserved.", "author" : [ { "dropping-particle" : "", "family" : "Wu", "given" : "Rong-Lan", "non-dropping-particle" : "", "parse-names" : false, "suffix" : "" }, { "dropping-particle" : "", "family" : "Wang", "given" : "Xiu-Li", "non-dropping-particle" : "", "parse-names" : false, "suffix" : "" }, { "dropping-particle" : "", "family" : "Li", "given" : "Fang", "non-dropping-particle" : "", "parse-names" : false, "suffix" : "" }, { "dropping-particle" : "", "family" : "Li", "given" : "Hui-Zhang", "non-dropping-particle" : "", "parse-names" : false, "suffix" : "" }, { "dropping-particle" : "", "family" : "Wang", "given" : "Yu-Zhong", "non-dropping-particle" : "", "parse-names" : false, "suffix" : "" } ], "container-title" : "Bioresource Technology", "id" : "ITEM-1", "issue" : "9", "issued" : { "date-parts" : [ [ "2009", "5" ] ] }, "page" : "2569-2574", "publisher" : "Elsevier Ltd", "title" : "Green composite films prepared from cellulose, starch and lignin in room-temperature ionic liquid", "type" : "article-journal", "volume" : "100" }, "uris" : [ "http://www.mendeley.com/documents/?uuid=dd1079d4-9dab-4d4b-98bb-42bbc6897d03" ] } ], "mendeley" : { "formattedCitation" : "&lt;sup&gt;14&lt;/sup&gt;", "plainTextFormattedCitation" : "14" }, "properties" : { "noteIndex" : 0 }, "schema" : "https://github.com/citation-style-language/schema/raw/master/csl-citation.json" }</w:instrText>
      </w:r>
      <w:r w:rsidR="009939DC" w:rsidRPr="00A758AE">
        <w:rPr>
          <w:rFonts w:cs="Arial"/>
          <w:lang w:val="en-US"/>
        </w:rPr>
        <w:fldChar w:fldCharType="separate"/>
      </w:r>
      <w:r w:rsidR="009939DC" w:rsidRPr="00A758AE">
        <w:rPr>
          <w:rFonts w:cs="Arial"/>
          <w:noProof/>
          <w:vertAlign w:val="superscript"/>
          <w:lang w:val="en-US"/>
        </w:rPr>
        <w:t>14</w:t>
      </w:r>
      <w:r w:rsidR="009939DC" w:rsidRPr="00A758AE">
        <w:rPr>
          <w:rFonts w:cs="Arial"/>
          <w:lang w:val="en-US"/>
        </w:rPr>
        <w:fldChar w:fldCharType="end"/>
      </w:r>
      <w:r w:rsidR="0004181F">
        <w:rPr>
          <w:rFonts w:cs="Arial"/>
          <w:lang w:val="en-US"/>
        </w:rPr>
        <w:t xml:space="preserve"> Also synergetic effects using lignin-isolation with ILs followed by direct polymerization in the thereby obtained lignin solutions arise. As hydroxyl-units are the abundant reactive groups in the lignin structure most research is focusing either on the direct polymerization or the derivatization of the hydroxyl groups with subsequent polymerization.</w:t>
      </w:r>
      <w:r w:rsidR="00CD3F49">
        <w:rPr>
          <w:rFonts w:cs="Arial"/>
          <w:lang w:val="en-US"/>
        </w:rPr>
        <w:t xml:space="preserve"> </w:t>
      </w:r>
      <w:r w:rsidR="00031D1D">
        <w:rPr>
          <w:rFonts w:cs="Arial"/>
          <w:lang w:val="en-US"/>
        </w:rPr>
        <w:t xml:space="preserve">A number of </w:t>
      </w:r>
      <w:r w:rsidR="00CD3F49">
        <w:rPr>
          <w:rFonts w:cs="Arial"/>
          <w:lang w:val="en-US"/>
        </w:rPr>
        <w:t xml:space="preserve">benefits of lignin-based polymers using ILs as solvents for polymerization are listed in </w:t>
      </w:r>
      <w:r w:rsidR="00CD3F49">
        <w:rPr>
          <w:rFonts w:cs="Arial"/>
          <w:lang w:val="en-US"/>
        </w:rPr>
        <w:fldChar w:fldCharType="begin"/>
      </w:r>
      <w:r w:rsidR="00CD3F49">
        <w:rPr>
          <w:rFonts w:cs="Arial"/>
          <w:lang w:val="en-US"/>
        </w:rPr>
        <w:instrText xml:space="preserve"> REF _Ref484770157 \h </w:instrText>
      </w:r>
      <w:r w:rsidR="00CD3F49">
        <w:rPr>
          <w:rFonts w:cs="Arial"/>
          <w:lang w:val="en-US"/>
        </w:rPr>
      </w:r>
      <w:r w:rsidR="00CD3F49">
        <w:rPr>
          <w:rFonts w:cs="Arial"/>
          <w:lang w:val="en-US"/>
        </w:rPr>
        <w:fldChar w:fldCharType="separate"/>
      </w:r>
      <w:r w:rsidR="00CD3F49" w:rsidRPr="00A758AE">
        <w:rPr>
          <w:lang w:val="en-US"/>
        </w:rPr>
        <w:t xml:space="preserve">Table </w:t>
      </w:r>
      <w:r w:rsidR="00CD3F49" w:rsidRPr="00A758AE">
        <w:rPr>
          <w:noProof/>
          <w:lang w:val="en-US"/>
        </w:rPr>
        <w:t>8</w:t>
      </w:r>
      <w:r w:rsidR="00CD3F49">
        <w:rPr>
          <w:rFonts w:cs="Arial"/>
          <w:lang w:val="en-US"/>
        </w:rPr>
        <w:fldChar w:fldCharType="end"/>
      </w:r>
      <w:r w:rsidR="00CD3F49">
        <w:rPr>
          <w:rFonts w:cs="Arial"/>
          <w:lang w:val="en-US"/>
        </w:rPr>
        <w:t xml:space="preserve"> and compared to the industrial polymers based on fossil fuel.</w:t>
      </w:r>
    </w:p>
    <w:p w:rsidR="003549A7" w:rsidRDefault="003549A7" w:rsidP="00831076">
      <w:pPr>
        <w:jc w:val="both"/>
        <w:rPr>
          <w:rFonts w:ascii="Arial" w:hAnsi="Arial" w:cs="Arial"/>
          <w:lang w:val="en-US"/>
        </w:rPr>
      </w:pPr>
    </w:p>
    <w:p w:rsidR="00831076" w:rsidRDefault="00831076" w:rsidP="00831076">
      <w:pPr>
        <w:rPr>
          <w:rFonts w:ascii="Arial" w:hAnsi="Arial" w:cs="Arial"/>
          <w:lang w:val="en-US"/>
        </w:rPr>
      </w:pPr>
      <w:r>
        <w:rPr>
          <w:rFonts w:ascii="Arial" w:hAnsi="Arial" w:cs="Arial"/>
          <w:lang w:val="en-US"/>
        </w:rPr>
        <w:br w:type="page"/>
      </w:r>
    </w:p>
    <w:p w:rsidR="00831076" w:rsidRPr="00A758AE" w:rsidRDefault="00A758AE" w:rsidP="00A124C1">
      <w:pPr>
        <w:pStyle w:val="Beschriftung"/>
        <w:jc w:val="both"/>
        <w:rPr>
          <w:rFonts w:cs="Arial"/>
          <w:szCs w:val="22"/>
          <w:lang w:val="en-US"/>
        </w:rPr>
      </w:pPr>
      <w:bookmarkStart w:id="18" w:name="_Ref484770157"/>
      <w:r w:rsidRPr="00A758AE">
        <w:rPr>
          <w:szCs w:val="22"/>
          <w:lang w:val="en-US"/>
        </w:rPr>
        <w:lastRenderedPageBreak/>
        <w:t xml:space="preserve">Table </w:t>
      </w:r>
      <w:r w:rsidRPr="00A758AE">
        <w:rPr>
          <w:szCs w:val="22"/>
        </w:rPr>
        <w:fldChar w:fldCharType="begin"/>
      </w:r>
      <w:r w:rsidRPr="00A758AE">
        <w:rPr>
          <w:szCs w:val="22"/>
          <w:lang w:val="en-US"/>
        </w:rPr>
        <w:instrText xml:space="preserve"> SEQ Table \* ARABIC </w:instrText>
      </w:r>
      <w:r w:rsidRPr="00A758AE">
        <w:rPr>
          <w:szCs w:val="22"/>
        </w:rPr>
        <w:fldChar w:fldCharType="separate"/>
      </w:r>
      <w:r w:rsidRPr="00A758AE">
        <w:rPr>
          <w:noProof/>
          <w:szCs w:val="22"/>
          <w:lang w:val="en-US"/>
        </w:rPr>
        <w:t>8</w:t>
      </w:r>
      <w:r w:rsidRPr="00A758AE">
        <w:rPr>
          <w:szCs w:val="22"/>
        </w:rPr>
        <w:fldChar w:fldCharType="end"/>
      </w:r>
      <w:bookmarkEnd w:id="18"/>
      <w:r w:rsidRPr="00A758AE">
        <w:rPr>
          <w:szCs w:val="22"/>
          <w:lang w:val="en-US"/>
        </w:rPr>
        <w:t xml:space="preserve">. </w:t>
      </w:r>
      <w:r w:rsidR="0071424E" w:rsidRPr="00A758AE">
        <w:rPr>
          <w:rFonts w:cs="Arial"/>
          <w:b w:val="0"/>
          <w:szCs w:val="22"/>
          <w:lang w:val="en-US"/>
        </w:rPr>
        <w:t>Green chemistry principles applied to lignin based polymers in comparison to polymers based on mineral oil</w:t>
      </w:r>
      <w:r w:rsidR="00831076" w:rsidRPr="00A758AE">
        <w:rPr>
          <w:rFonts w:cs="Arial"/>
          <w:b w:val="0"/>
          <w:szCs w:val="22"/>
          <w:lang w:val="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835"/>
        <w:gridCol w:w="3002"/>
        <w:gridCol w:w="2917"/>
      </w:tblGrid>
      <w:tr w:rsidR="0071424E" w:rsidRPr="00D038C4" w:rsidTr="00831076">
        <w:tc>
          <w:tcPr>
            <w:tcW w:w="534" w:type="dxa"/>
            <w:tcBorders>
              <w:top w:val="single" w:sz="4" w:space="0" w:color="auto"/>
              <w:bottom w:val="single" w:sz="12" w:space="0" w:color="auto"/>
            </w:tcBorders>
          </w:tcPr>
          <w:p w:rsidR="00831076" w:rsidRPr="00CD3F49" w:rsidRDefault="00831076" w:rsidP="00CD3F49">
            <w:pPr>
              <w:spacing w:line="276" w:lineRule="auto"/>
              <w:jc w:val="center"/>
              <w:rPr>
                <w:rFonts w:cs="Arial"/>
                <w:color w:val="000000" w:themeColor="text1"/>
                <w:sz w:val="20"/>
                <w:szCs w:val="20"/>
                <w:lang w:val="en-US"/>
              </w:rPr>
            </w:pPr>
          </w:p>
        </w:tc>
        <w:tc>
          <w:tcPr>
            <w:tcW w:w="2835" w:type="dxa"/>
            <w:tcBorders>
              <w:top w:val="single" w:sz="4" w:space="0" w:color="auto"/>
              <w:bottom w:val="single" w:sz="12" w:space="0" w:color="auto"/>
            </w:tcBorders>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Green Chemistry Principle</w:t>
            </w:r>
          </w:p>
        </w:tc>
        <w:tc>
          <w:tcPr>
            <w:tcW w:w="3002" w:type="dxa"/>
            <w:tcBorders>
              <w:top w:val="single" w:sz="4" w:space="0" w:color="auto"/>
              <w:bottom w:val="single" w:sz="12" w:space="0" w:color="auto"/>
            </w:tcBorders>
          </w:tcPr>
          <w:p w:rsidR="00831076" w:rsidRPr="00CD3F49" w:rsidRDefault="00CD3F49"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Polymers based on mineral oil</w:t>
            </w:r>
          </w:p>
        </w:tc>
        <w:tc>
          <w:tcPr>
            <w:tcW w:w="2917" w:type="dxa"/>
            <w:tcBorders>
              <w:top w:val="single" w:sz="4" w:space="0" w:color="auto"/>
              <w:bottom w:val="single" w:sz="12" w:space="0" w:color="auto"/>
            </w:tcBorders>
          </w:tcPr>
          <w:p w:rsidR="00831076" w:rsidRPr="00CD3F49" w:rsidRDefault="00CD3F49"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Lignin-based polymers</w:t>
            </w:r>
          </w:p>
        </w:tc>
      </w:tr>
      <w:tr w:rsidR="0071424E" w:rsidRPr="00B1390F" w:rsidTr="00831076">
        <w:tc>
          <w:tcPr>
            <w:tcW w:w="534" w:type="dxa"/>
            <w:tcBorders>
              <w:top w:val="single" w:sz="12" w:space="0" w:color="auto"/>
            </w:tcBorders>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1</w:t>
            </w:r>
          </w:p>
        </w:tc>
        <w:tc>
          <w:tcPr>
            <w:tcW w:w="2835" w:type="dxa"/>
            <w:tcBorders>
              <w:top w:val="single" w:sz="12" w:space="0" w:color="auto"/>
            </w:tcBorders>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Waste prevention</w:t>
            </w:r>
          </w:p>
        </w:tc>
        <w:tc>
          <w:tcPr>
            <w:tcW w:w="3002" w:type="dxa"/>
            <w:tcBorders>
              <w:top w:val="single" w:sz="12" w:space="0" w:color="auto"/>
            </w:tcBorders>
          </w:tcPr>
          <w:p w:rsidR="00831076" w:rsidRPr="00CD3F49" w:rsidRDefault="00CD3F49"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In most cases no additional solvent needed</w:t>
            </w:r>
            <w:r w:rsidR="00031D1D">
              <w:rPr>
                <w:rFonts w:cs="Arial"/>
                <w:color w:val="000000" w:themeColor="text1"/>
                <w:sz w:val="20"/>
                <w:szCs w:val="20"/>
                <w:lang w:val="en-US"/>
              </w:rPr>
              <w:t>; non-biodegradable plastic waste in maritime ecosystems</w:t>
            </w:r>
            <w:r>
              <w:rPr>
                <w:rFonts w:cs="Arial"/>
                <w:color w:val="000000" w:themeColor="text1"/>
                <w:sz w:val="20"/>
                <w:szCs w:val="20"/>
                <w:lang w:val="en-US"/>
              </w:rPr>
              <w:t xml:space="preserve"> </w:t>
            </w:r>
            <w:r w:rsidR="00031D1D">
              <w:rPr>
                <w:rFonts w:cs="Arial"/>
                <w:color w:val="000000" w:themeColor="text1"/>
                <w:sz w:val="20"/>
                <w:szCs w:val="20"/>
                <w:lang w:val="en-US"/>
              </w:rPr>
              <w:t>poses serious problems today and even more in the future</w:t>
            </w:r>
          </w:p>
        </w:tc>
        <w:tc>
          <w:tcPr>
            <w:tcW w:w="2917" w:type="dxa"/>
            <w:tcBorders>
              <w:top w:val="single" w:sz="12" w:space="0" w:color="auto"/>
            </w:tcBorders>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 xml:space="preserve">No additional reagents </w:t>
            </w:r>
            <w:r w:rsidR="00CD3F49">
              <w:rPr>
                <w:rFonts w:cs="Arial"/>
                <w:color w:val="000000" w:themeColor="text1"/>
                <w:sz w:val="20"/>
                <w:szCs w:val="20"/>
                <w:lang w:val="en-US"/>
              </w:rPr>
              <w:t xml:space="preserve">for the dissolution </w:t>
            </w:r>
            <w:r w:rsidRPr="00CD3F49">
              <w:rPr>
                <w:rFonts w:cs="Arial"/>
                <w:color w:val="000000" w:themeColor="text1"/>
                <w:sz w:val="20"/>
                <w:szCs w:val="20"/>
                <w:lang w:val="en-US"/>
              </w:rPr>
              <w:t>needed as ILs have strong solvation ability for biomass; in principle full solvent recovery</w:t>
            </w:r>
            <w:r w:rsidR="00031D1D">
              <w:rPr>
                <w:rFonts w:cs="Arial"/>
                <w:color w:val="000000" w:themeColor="text1"/>
                <w:sz w:val="20"/>
                <w:szCs w:val="20"/>
                <w:lang w:val="en-US"/>
              </w:rPr>
              <w:t>; improved biodegradability advantageous if waste exposed to ecosystems</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2</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Atom economy</w:t>
            </w:r>
          </w:p>
        </w:tc>
        <w:tc>
          <w:tcPr>
            <w:tcW w:w="3002" w:type="dxa"/>
          </w:tcPr>
          <w:p w:rsidR="00831076" w:rsidRPr="00CD3F49" w:rsidRDefault="00CD3F49"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High atom economy</w:t>
            </w:r>
          </w:p>
        </w:tc>
        <w:tc>
          <w:tcPr>
            <w:tcW w:w="2917" w:type="dxa"/>
          </w:tcPr>
          <w:p w:rsidR="00831076" w:rsidRPr="00CD3F49" w:rsidRDefault="00CD3F49"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High atom economy</w:t>
            </w:r>
            <w:r w:rsidRPr="00CD3F49">
              <w:rPr>
                <w:rFonts w:cs="Arial"/>
                <w:color w:val="000000" w:themeColor="text1"/>
                <w:sz w:val="20"/>
                <w:szCs w:val="20"/>
                <w:lang w:val="en-US"/>
              </w:rPr>
              <w:t xml:space="preserve"> </w:t>
            </w:r>
            <w:r w:rsidR="00831076" w:rsidRPr="00CD3F49">
              <w:rPr>
                <w:rFonts w:cs="Arial"/>
                <w:color w:val="000000" w:themeColor="text1"/>
                <w:sz w:val="20"/>
                <w:szCs w:val="20"/>
                <w:lang w:val="en-US"/>
              </w:rPr>
              <w:t xml:space="preserve">and </w:t>
            </w:r>
            <w:r>
              <w:rPr>
                <w:rFonts w:cs="Arial"/>
                <w:color w:val="000000" w:themeColor="text1"/>
                <w:sz w:val="20"/>
                <w:szCs w:val="20"/>
                <w:lang w:val="en-US"/>
              </w:rPr>
              <w:t xml:space="preserve">in principle </w:t>
            </w:r>
            <w:r w:rsidR="00831076" w:rsidRPr="00CD3F49">
              <w:rPr>
                <w:rFonts w:cs="Arial"/>
                <w:color w:val="000000" w:themeColor="text1"/>
                <w:sz w:val="20"/>
                <w:szCs w:val="20"/>
                <w:lang w:val="en-US"/>
              </w:rPr>
              <w:t xml:space="preserve">full solvent recovery </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3</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Less hazardous chemical syntheses</w:t>
            </w:r>
          </w:p>
        </w:tc>
        <w:tc>
          <w:tcPr>
            <w:tcW w:w="3002" w:type="dxa"/>
          </w:tcPr>
          <w:p w:rsidR="00831076" w:rsidRPr="00CD3F49" w:rsidRDefault="00CD3F49" w:rsidP="00A124C1">
            <w:pPr>
              <w:spacing w:before="120" w:line="276" w:lineRule="auto"/>
              <w:jc w:val="center"/>
              <w:rPr>
                <w:rFonts w:cs="Arial"/>
                <w:color w:val="000000" w:themeColor="text1"/>
                <w:sz w:val="20"/>
                <w:szCs w:val="20"/>
                <w:lang w:val="en-US"/>
              </w:rPr>
            </w:pPr>
            <w:r>
              <w:rPr>
                <w:rFonts w:cs="Arial"/>
                <w:color w:val="000000" w:themeColor="text1"/>
                <w:sz w:val="20"/>
                <w:szCs w:val="20"/>
                <w:lang w:val="en-US"/>
              </w:rPr>
              <w:t xml:space="preserve">Commonly </w:t>
            </w:r>
            <w:r w:rsidR="00A124C1">
              <w:rPr>
                <w:rFonts w:cs="Arial"/>
                <w:color w:val="000000" w:themeColor="text1"/>
                <w:sz w:val="20"/>
                <w:szCs w:val="20"/>
                <w:lang w:val="en-US"/>
              </w:rPr>
              <w:t>applied</w:t>
            </w:r>
            <w:r>
              <w:rPr>
                <w:rFonts w:cs="Arial"/>
                <w:color w:val="000000" w:themeColor="text1"/>
                <w:sz w:val="20"/>
                <w:szCs w:val="20"/>
                <w:lang w:val="en-US"/>
              </w:rPr>
              <w:t xml:space="preserve"> are flammable, toxic volatile monomers and organic solvents (if used) </w:t>
            </w:r>
          </w:p>
        </w:tc>
        <w:tc>
          <w:tcPr>
            <w:tcW w:w="2917" w:type="dxa"/>
          </w:tcPr>
          <w:p w:rsidR="00831076" w:rsidRPr="00CD3F49" w:rsidRDefault="00CD3F49"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 xml:space="preserve">Lignin is an inflammable, non-volatile </w:t>
            </w:r>
            <w:proofErr w:type="spellStart"/>
            <w:r>
              <w:rPr>
                <w:rFonts w:cs="Arial"/>
                <w:color w:val="000000" w:themeColor="text1"/>
                <w:sz w:val="20"/>
                <w:szCs w:val="20"/>
                <w:lang w:val="en-US"/>
              </w:rPr>
              <w:t>educt</w:t>
            </w:r>
            <w:proofErr w:type="spellEnd"/>
            <w:r>
              <w:rPr>
                <w:rFonts w:cs="Arial"/>
                <w:color w:val="000000" w:themeColor="text1"/>
                <w:sz w:val="20"/>
                <w:szCs w:val="20"/>
                <w:lang w:val="en-US"/>
              </w:rPr>
              <w:t>; ILs are</w:t>
            </w:r>
            <w:r w:rsidR="00831076" w:rsidRPr="00CD3F49">
              <w:rPr>
                <w:rFonts w:cs="Arial"/>
                <w:color w:val="000000" w:themeColor="text1"/>
                <w:sz w:val="20"/>
                <w:szCs w:val="20"/>
                <w:lang w:val="en-US"/>
              </w:rPr>
              <w:t xml:space="preserve"> stable, nonvolatile, non-flammable solvents, </w:t>
            </w:r>
            <w:r w:rsidRPr="00CD3F49">
              <w:rPr>
                <w:rFonts w:cs="Arial"/>
                <w:color w:val="000000" w:themeColor="text1"/>
                <w:sz w:val="20"/>
                <w:szCs w:val="20"/>
                <w:lang w:val="en-US"/>
              </w:rPr>
              <w:t>tunable</w:t>
            </w:r>
            <w:r w:rsidR="00831076" w:rsidRPr="00CD3F49">
              <w:rPr>
                <w:rFonts w:cs="Arial"/>
                <w:color w:val="000000" w:themeColor="text1"/>
                <w:sz w:val="20"/>
                <w:szCs w:val="20"/>
                <w:lang w:val="en-US"/>
              </w:rPr>
              <w:t xml:space="preserve"> towards non-toxicity</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4</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Design safer chemicals</w:t>
            </w:r>
          </w:p>
        </w:tc>
        <w:tc>
          <w:tcPr>
            <w:tcW w:w="3002"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w:t>
            </w:r>
          </w:p>
        </w:tc>
        <w:tc>
          <w:tcPr>
            <w:tcW w:w="2917" w:type="dxa"/>
          </w:tcPr>
          <w:p w:rsidR="00831076" w:rsidRPr="00CD3F49" w:rsidRDefault="00031D1D" w:rsidP="00031D1D">
            <w:pPr>
              <w:spacing w:before="120" w:line="276" w:lineRule="auto"/>
              <w:jc w:val="center"/>
              <w:rPr>
                <w:rFonts w:cs="Arial"/>
                <w:color w:val="000000" w:themeColor="text1"/>
                <w:sz w:val="20"/>
                <w:szCs w:val="20"/>
                <w:lang w:val="en-US"/>
              </w:rPr>
            </w:pPr>
            <w:r>
              <w:rPr>
                <w:rFonts w:cs="Arial"/>
                <w:color w:val="000000" w:themeColor="text1"/>
                <w:sz w:val="20"/>
                <w:szCs w:val="20"/>
                <w:lang w:val="en-US"/>
              </w:rPr>
              <w:t xml:space="preserve">Lignin based polymers are in general as benign as conventional polymers; </w:t>
            </w:r>
            <w:r w:rsidR="00831076" w:rsidRPr="00CD3F49">
              <w:rPr>
                <w:rFonts w:cs="Arial"/>
                <w:color w:val="000000" w:themeColor="text1"/>
                <w:sz w:val="20"/>
                <w:szCs w:val="20"/>
                <w:lang w:val="en-US"/>
              </w:rPr>
              <w:t>Intrinsically safer solvents, widely tailorable to reduce impact on organisms</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5</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Safer solvents and auxiliaries</w:t>
            </w:r>
          </w:p>
        </w:tc>
        <w:tc>
          <w:tcPr>
            <w:tcW w:w="3002" w:type="dxa"/>
          </w:tcPr>
          <w:p w:rsidR="00831076" w:rsidRPr="00CD3F49" w:rsidRDefault="00031D1D" w:rsidP="009A3C89">
            <w:pPr>
              <w:spacing w:before="120" w:line="276" w:lineRule="auto"/>
              <w:jc w:val="center"/>
              <w:rPr>
                <w:rFonts w:cs="Arial"/>
                <w:color w:val="000000" w:themeColor="text1"/>
                <w:sz w:val="20"/>
                <w:szCs w:val="20"/>
                <w:lang w:val="en-US"/>
              </w:rPr>
            </w:pPr>
            <w:r>
              <w:rPr>
                <w:rFonts w:cs="Arial"/>
                <w:color w:val="000000" w:themeColor="text1"/>
                <w:sz w:val="20"/>
                <w:szCs w:val="20"/>
                <w:lang w:val="en-US"/>
              </w:rPr>
              <w:t>Often solvent-free</w:t>
            </w:r>
            <w:r w:rsidR="009A3C89">
              <w:rPr>
                <w:rFonts w:cs="Arial"/>
                <w:color w:val="000000" w:themeColor="text1"/>
                <w:sz w:val="20"/>
                <w:szCs w:val="20"/>
                <w:lang w:val="en-US"/>
              </w:rPr>
              <w:t xml:space="preserve"> otherwise</w:t>
            </w:r>
            <w:r>
              <w:rPr>
                <w:rFonts w:cs="Arial"/>
                <w:color w:val="000000" w:themeColor="text1"/>
                <w:sz w:val="20"/>
                <w:szCs w:val="20"/>
                <w:lang w:val="en-US"/>
              </w:rPr>
              <w:t xml:space="preserve"> conventional organic solv</w:t>
            </w:r>
            <w:r w:rsidR="009A3C89">
              <w:rPr>
                <w:rFonts w:cs="Arial"/>
                <w:color w:val="000000" w:themeColor="text1"/>
                <w:sz w:val="20"/>
                <w:szCs w:val="20"/>
                <w:lang w:val="en-US"/>
              </w:rPr>
              <w:t>ents</w:t>
            </w:r>
          </w:p>
        </w:tc>
        <w:tc>
          <w:tcPr>
            <w:tcW w:w="2917"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No potential harmful organic solvents used</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6</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Energy efficiency</w:t>
            </w:r>
          </w:p>
        </w:tc>
        <w:tc>
          <w:tcPr>
            <w:tcW w:w="3002" w:type="dxa"/>
          </w:tcPr>
          <w:p w:rsidR="00831076" w:rsidRPr="00CD3F49" w:rsidRDefault="00190D31"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Depending on type of polymerization and process</w:t>
            </w:r>
          </w:p>
        </w:tc>
        <w:tc>
          <w:tcPr>
            <w:tcW w:w="2917" w:type="dxa"/>
          </w:tcPr>
          <w:p w:rsidR="00831076" w:rsidRPr="00CD3F49" w:rsidRDefault="00190D31"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Polymerization in solution may improve energy efficiency through improved reaction kinetics</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7</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Use of renewable feedstocks</w:t>
            </w:r>
          </w:p>
        </w:tc>
        <w:tc>
          <w:tcPr>
            <w:tcW w:w="3002" w:type="dxa"/>
          </w:tcPr>
          <w:p w:rsidR="00831076" w:rsidRPr="00190D31" w:rsidRDefault="00190D31"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No use of biomass; not CO</w:t>
            </w:r>
            <w:r>
              <w:rPr>
                <w:rFonts w:cs="Arial"/>
                <w:color w:val="000000" w:themeColor="text1"/>
                <w:sz w:val="20"/>
                <w:szCs w:val="20"/>
                <w:vertAlign w:val="subscript"/>
                <w:lang w:val="en-US"/>
              </w:rPr>
              <w:t>2</w:t>
            </w:r>
            <w:r>
              <w:rPr>
                <w:rFonts w:cs="Arial"/>
                <w:color w:val="000000" w:themeColor="text1"/>
                <w:sz w:val="20"/>
                <w:szCs w:val="20"/>
                <w:lang w:val="en-US"/>
              </w:rPr>
              <w:t>-benign</w:t>
            </w:r>
          </w:p>
        </w:tc>
        <w:tc>
          <w:tcPr>
            <w:tcW w:w="2917" w:type="dxa"/>
          </w:tcPr>
          <w:p w:rsidR="00831076" w:rsidRPr="003B24F2"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Usage of biomass, possibility of bio-</w:t>
            </w:r>
            <w:proofErr w:type="spellStart"/>
            <w:r w:rsidRPr="00CD3F49">
              <w:rPr>
                <w:rFonts w:cs="Arial"/>
                <w:color w:val="000000" w:themeColor="text1"/>
                <w:sz w:val="20"/>
                <w:szCs w:val="20"/>
                <w:lang w:val="en-US"/>
              </w:rPr>
              <w:t>derivated</w:t>
            </w:r>
            <w:proofErr w:type="spellEnd"/>
            <w:r w:rsidRPr="00CD3F49">
              <w:rPr>
                <w:rFonts w:cs="Arial"/>
                <w:color w:val="000000" w:themeColor="text1"/>
                <w:sz w:val="20"/>
                <w:szCs w:val="20"/>
                <w:lang w:val="en-US"/>
              </w:rPr>
              <w:t xml:space="preserve"> ILs demonstrated</w:t>
            </w:r>
            <w:r w:rsidRPr="00CD3F49">
              <w:rPr>
                <w:rFonts w:cs="Arial"/>
                <w:color w:val="000000" w:themeColor="text1"/>
                <w:sz w:val="20"/>
                <w:szCs w:val="20"/>
                <w:lang w:val="en-US"/>
              </w:rPr>
              <w:fldChar w:fldCharType="begin" w:fldLock="1"/>
            </w:r>
            <w:r w:rsidRPr="00CD3F49">
              <w:rPr>
                <w:rFonts w:cs="Arial"/>
                <w:color w:val="000000" w:themeColor="text1"/>
                <w:sz w:val="20"/>
                <w:szCs w:val="20"/>
                <w:lang w:val="en-US"/>
              </w:rPr>
              <w:instrText>ADDIN CSL_CITATION { "citationItems" : [ { "id" : "ITEM-1", "itemData" : { "DOI" : "10.1073/pnas.1405685111", "ISBN" : "0027-8424", "ISSN" : "0027-8424", "PMID" : "25136131", "abstract" : "Ionic liquids (ILs), solvents composed entirely of paired ions, have been used in a variety of process chemistry and renewable energy applications. Imidazolium-based ILs effectively dissolve biomass and represent a remarkable platform for biomass pretreatment. Although efficient, imidazolium cations are expensive and thus limited in their large-scale industrial deployment. To replace imidazolium-based ILs with those derived from renewable sources, we synthesized a series of tertiary amine-based ILs from aromatic aldehydes derived from lignin and hemicellulose, the major by-products of lignocellulosic biofuel production. Compositional analysis of switchgrass pretreated with ILs derived from vanillin, p-anisaldehyde, and furfural confirmed their efficacy. Enzymatic hydrolysis of pretreated switchgrass allowed for direct comparison of sugar yields and lignin removal between biomass-derived ILs and 1-ethyl-3-methylimidazolium acetate. Although the rate of cellulose hydrolysis for switchgrass pretreated with biomass-derived ILs was slightly slower than that of 1-ethyl-3-methylimidazolium acetate, 90-95% glucose and 70-75% xylose yields were obtained for these samples after 72-h incubation. Molecular modeling was used to compare IL solvent parameters with experimentally obtained compositional analysis data. Effective pretreatment of lignocellulose was further investigated by powder X-ray diffraction and glycome profiling of switchgrass cell walls. These studies showed different cellulose structural changes and differences in hemicellulose epitopes between switchgrass pretreatments with the aforementioned ILs. Our concept of deriving ILs from lignocellulosic biomass shows significant potential for the realization of a \"closed-loop\" process for future lignocellulosic biorefineries and has far-reaching economic impacts for other IL-based process technology currently using ILs synthesized from petroleum sources.", "author" : [ { "dropping-particle" : "", "family" : "Socha", "given" : "Aaron M", "non-dropping-particle" : "", "parse-names" : false, "suffix" : "" }, { "dropping-particle" : "", "family" : "Parthasarathi", "given" : "Ramakrishnan", "non-dropping-particle" : "", "parse-names" : false, "suffix" : "" }, { "dropping-particle" : "", "family" : "Shi", "given" : "Jian", "non-dropping-particle" : "", "parse-names" : false, "suffix" : "" }, { "dropping-particle" : "", "family" : "Pattathil", "given" : "Sivakumar", "non-dropping-particle" : "", "parse-names" : false, "suffix" : "" }, { "dropping-particle" : "", "family" : "Whyte", "given" : "Dorian", "non-dropping-particle" : "", "parse-names" : false, "suffix" : "" }, { "dropping-particle" : "", "family" : "Bergeron", "given" : "Maxime", "non-dropping-particle" : "", "parse-names" : false, "suffix" : "" }, { "dropping-particle" : "", "family" : "George", "given" : "Anthe", "non-dropping-particle" : "", "parse-names" : false, "suffix" : "" }, { "dropping-particle" : "", "family" : "Tran", "given" : "Kim", "non-dropping-particle" : "", "parse-names" : false, "suffix" : "" }, { "dropping-particle" : "", "family" : "Stavila", "given" : "Vitalie", "non-dropping-particle" : "", "parse-names" : false, "suffix" : "" }, { "dropping-particle" : "", "family" : "Venkatachalam", "given" : "Sivasankari", "non-dropping-particle" : "", "parse-names" : false, "suffix" : "" }, { "dropping-particle" : "", "family" : "Hahn", "given" : "Michael G", "non-dropping-particle" : "", "parse-names" : false, "suffix" : "" }, { "dropping-particle" : "", "family" : "Simmons", "given" : "Blake a", "non-dropping-particle" : "", "parse-names" : false, "suffix" : "" }, { "dropping-particle" : "", "family" : "Singh", "given" : "Seema", "non-dropping-particle" : "", "parse-names" : false, "suffix" : "" } ], "container-title" : "Proceedings of the National Academy of Sciences", "id" : "ITEM-1", "issue" : "35", "issued" : { "date-parts" : [ [ "2014", "9", "2" ] ] }, "page" : "E3587-E3595", "title" : "Efficient biomass pretreatment using ionic liquids derived from lignin and hemicellulose", "type" : "article-journal", "volume" : "111" }, "uris" : [ "http://www.mendeley.com/documents/?uuid=a5b82c3f-d9b3-47da-ae29-a851a1ce8675" ] } ], "mendeley" : { "formattedCitation" : "&lt;sup&gt;7&lt;/sup&gt;", "plainTextFormattedCitation" : "7", "previouslyFormattedCitation" : "&lt;sup&gt;7&lt;/sup&gt;" }, "properties" : { "noteIndex" : 0 }, "schema" : "https://github.com/citation-style-language/schema/raw/master/csl-citation.json" }</w:instrText>
            </w:r>
            <w:r w:rsidRPr="00CD3F49">
              <w:rPr>
                <w:rFonts w:cs="Arial"/>
                <w:color w:val="000000" w:themeColor="text1"/>
                <w:sz w:val="20"/>
                <w:szCs w:val="20"/>
                <w:lang w:val="en-US"/>
              </w:rPr>
              <w:fldChar w:fldCharType="separate"/>
            </w:r>
            <w:r w:rsidRPr="00CD3F49">
              <w:rPr>
                <w:rFonts w:cs="Arial"/>
                <w:noProof/>
                <w:color w:val="000000" w:themeColor="text1"/>
                <w:sz w:val="20"/>
                <w:szCs w:val="20"/>
                <w:vertAlign w:val="superscript"/>
                <w:lang w:val="en-US"/>
              </w:rPr>
              <w:t>7</w:t>
            </w:r>
            <w:r w:rsidRPr="00CD3F49">
              <w:rPr>
                <w:rFonts w:cs="Arial"/>
                <w:color w:val="000000" w:themeColor="text1"/>
                <w:sz w:val="20"/>
                <w:szCs w:val="20"/>
                <w:lang w:val="en-US"/>
              </w:rPr>
              <w:fldChar w:fldCharType="end"/>
            </w:r>
            <w:r w:rsidR="003B24F2">
              <w:rPr>
                <w:rFonts w:cs="Arial"/>
                <w:color w:val="000000" w:themeColor="text1"/>
                <w:sz w:val="20"/>
                <w:szCs w:val="20"/>
                <w:lang w:val="en-US"/>
              </w:rPr>
              <w:t>, CO</w:t>
            </w:r>
            <w:r w:rsidR="003B24F2">
              <w:rPr>
                <w:rFonts w:cs="Arial"/>
                <w:color w:val="000000" w:themeColor="text1"/>
                <w:sz w:val="20"/>
                <w:szCs w:val="20"/>
                <w:vertAlign w:val="subscript"/>
                <w:lang w:val="en-US"/>
              </w:rPr>
              <w:t>2</w:t>
            </w:r>
            <w:r w:rsidR="003B24F2">
              <w:rPr>
                <w:rFonts w:cs="Arial"/>
                <w:color w:val="000000" w:themeColor="text1"/>
                <w:sz w:val="20"/>
                <w:szCs w:val="20"/>
                <w:lang w:val="en-US"/>
              </w:rPr>
              <w:t>-bala</w:t>
            </w:r>
            <w:r w:rsidR="00616D97">
              <w:rPr>
                <w:rFonts w:cs="Arial"/>
                <w:color w:val="000000" w:themeColor="text1"/>
                <w:sz w:val="20"/>
                <w:szCs w:val="20"/>
                <w:lang w:val="en-US"/>
              </w:rPr>
              <w:t>n</w:t>
            </w:r>
            <w:r w:rsidR="003B24F2">
              <w:rPr>
                <w:rFonts w:cs="Arial"/>
                <w:color w:val="000000" w:themeColor="text1"/>
                <w:sz w:val="20"/>
                <w:szCs w:val="20"/>
                <w:lang w:val="en-US"/>
              </w:rPr>
              <w:t>ce improved</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8</w:t>
            </w:r>
          </w:p>
        </w:tc>
        <w:tc>
          <w:tcPr>
            <w:tcW w:w="2835" w:type="dxa"/>
          </w:tcPr>
          <w:p w:rsidR="00831076" w:rsidRPr="00CD3F49" w:rsidRDefault="00831076" w:rsidP="00CD3F49">
            <w:pPr>
              <w:tabs>
                <w:tab w:val="left" w:pos="1020"/>
              </w:tabs>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Reduce derivatives</w:t>
            </w:r>
          </w:p>
        </w:tc>
        <w:tc>
          <w:tcPr>
            <w:tcW w:w="3002" w:type="dxa"/>
          </w:tcPr>
          <w:p w:rsidR="00831076" w:rsidRPr="00CD3F49" w:rsidRDefault="003B24F2"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Usually no derivatization</w:t>
            </w:r>
            <w:r w:rsidR="00831076" w:rsidRPr="00CD3F49">
              <w:rPr>
                <w:rFonts w:cs="Arial"/>
                <w:color w:val="000000" w:themeColor="text1"/>
                <w:sz w:val="20"/>
                <w:szCs w:val="20"/>
                <w:lang w:val="en-US"/>
              </w:rPr>
              <w:t xml:space="preserve"> </w:t>
            </w:r>
          </w:p>
        </w:tc>
        <w:tc>
          <w:tcPr>
            <w:tcW w:w="2917" w:type="dxa"/>
          </w:tcPr>
          <w:p w:rsidR="00831076" w:rsidRPr="00CD3F49" w:rsidRDefault="003B24F2" w:rsidP="003B24F2">
            <w:pPr>
              <w:spacing w:before="120" w:line="276" w:lineRule="auto"/>
              <w:jc w:val="center"/>
              <w:rPr>
                <w:rFonts w:cs="Arial"/>
                <w:color w:val="000000" w:themeColor="text1"/>
                <w:sz w:val="20"/>
                <w:szCs w:val="20"/>
                <w:lang w:val="en-US"/>
              </w:rPr>
            </w:pPr>
            <w:r>
              <w:rPr>
                <w:rFonts w:cs="Arial"/>
                <w:color w:val="000000" w:themeColor="text1"/>
                <w:sz w:val="20"/>
                <w:szCs w:val="20"/>
                <w:lang w:val="en-US"/>
              </w:rPr>
              <w:t>Usually no derivatization</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9</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Catalysis</w:t>
            </w:r>
          </w:p>
        </w:tc>
        <w:tc>
          <w:tcPr>
            <w:tcW w:w="3002" w:type="dxa"/>
          </w:tcPr>
          <w:p w:rsidR="00831076" w:rsidRPr="00CD3F49" w:rsidRDefault="003B24F2"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Often applied</w:t>
            </w:r>
          </w:p>
        </w:tc>
        <w:tc>
          <w:tcPr>
            <w:tcW w:w="2917" w:type="dxa"/>
          </w:tcPr>
          <w:p w:rsidR="00831076" w:rsidRPr="00CD3F49" w:rsidRDefault="003B24F2"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In principle applicable but only few scientific investigations</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10</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Design for degradation</w:t>
            </w:r>
          </w:p>
        </w:tc>
        <w:tc>
          <w:tcPr>
            <w:tcW w:w="3002" w:type="dxa"/>
          </w:tcPr>
          <w:p w:rsidR="00831076" w:rsidRPr="00CD3F49" w:rsidRDefault="003B24F2" w:rsidP="00CD3F49">
            <w:pPr>
              <w:spacing w:before="120" w:line="276" w:lineRule="auto"/>
              <w:jc w:val="center"/>
              <w:rPr>
                <w:rFonts w:cs="Arial"/>
                <w:color w:val="000000" w:themeColor="text1"/>
                <w:sz w:val="20"/>
                <w:szCs w:val="20"/>
                <w:lang w:val="en-US"/>
              </w:rPr>
            </w:pPr>
            <w:r>
              <w:rPr>
                <w:rFonts w:cs="Arial"/>
                <w:color w:val="000000" w:themeColor="text1"/>
                <w:sz w:val="20"/>
                <w:szCs w:val="20"/>
                <w:lang w:val="en-US"/>
              </w:rPr>
              <w:t>Usually very poor biodegradability</w:t>
            </w:r>
          </w:p>
        </w:tc>
        <w:tc>
          <w:tcPr>
            <w:tcW w:w="2917"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Biodegradable ILs are reported</w:t>
            </w:r>
            <w:r w:rsidR="003B24F2">
              <w:rPr>
                <w:rFonts w:cs="Arial"/>
                <w:color w:val="000000" w:themeColor="text1"/>
                <w:sz w:val="20"/>
                <w:szCs w:val="20"/>
                <w:lang w:val="en-US"/>
              </w:rPr>
              <w:t>; biodegradability of polymers highly improved</w:t>
            </w:r>
          </w:p>
        </w:tc>
      </w:tr>
      <w:tr w:rsidR="0071424E" w:rsidRPr="00B1390F" w:rsidTr="00831076">
        <w:tc>
          <w:tcPr>
            <w:tcW w:w="534"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11</w:t>
            </w:r>
          </w:p>
        </w:tc>
        <w:tc>
          <w:tcPr>
            <w:tcW w:w="2835"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Real-time analysis for pollution prevention</w:t>
            </w:r>
          </w:p>
        </w:tc>
        <w:tc>
          <w:tcPr>
            <w:tcW w:w="3002"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In principle applicable</w:t>
            </w:r>
          </w:p>
        </w:tc>
        <w:tc>
          <w:tcPr>
            <w:tcW w:w="2917" w:type="dxa"/>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In principle applicable</w:t>
            </w:r>
          </w:p>
        </w:tc>
      </w:tr>
      <w:tr w:rsidR="0071424E" w:rsidRPr="00B1390F" w:rsidTr="00831076">
        <w:tc>
          <w:tcPr>
            <w:tcW w:w="534" w:type="dxa"/>
            <w:tcBorders>
              <w:bottom w:val="single" w:sz="4" w:space="0" w:color="auto"/>
            </w:tcBorders>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12</w:t>
            </w:r>
          </w:p>
        </w:tc>
        <w:tc>
          <w:tcPr>
            <w:tcW w:w="2835" w:type="dxa"/>
            <w:tcBorders>
              <w:bottom w:val="single" w:sz="4" w:space="0" w:color="auto"/>
            </w:tcBorders>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Inherently safer chemistry for accident prevention</w:t>
            </w:r>
          </w:p>
        </w:tc>
        <w:tc>
          <w:tcPr>
            <w:tcW w:w="3002" w:type="dxa"/>
            <w:tcBorders>
              <w:bottom w:val="single" w:sz="4" w:space="0" w:color="auto"/>
            </w:tcBorders>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Volatile, inflammable, toxic and corrosive chemicals pose treats</w:t>
            </w:r>
          </w:p>
        </w:tc>
        <w:tc>
          <w:tcPr>
            <w:tcW w:w="2917" w:type="dxa"/>
            <w:tcBorders>
              <w:bottom w:val="single" w:sz="4" w:space="0" w:color="auto"/>
            </w:tcBorders>
          </w:tcPr>
          <w:p w:rsidR="00831076" w:rsidRPr="00CD3F49" w:rsidRDefault="00831076" w:rsidP="00CD3F49">
            <w:pPr>
              <w:spacing w:before="120" w:line="276" w:lineRule="auto"/>
              <w:jc w:val="center"/>
              <w:rPr>
                <w:rFonts w:cs="Arial"/>
                <w:color w:val="000000" w:themeColor="text1"/>
                <w:sz w:val="20"/>
                <w:szCs w:val="20"/>
                <w:lang w:val="en-US"/>
              </w:rPr>
            </w:pPr>
            <w:r w:rsidRPr="00CD3F49">
              <w:rPr>
                <w:rFonts w:cs="Arial"/>
                <w:color w:val="000000" w:themeColor="text1"/>
                <w:sz w:val="20"/>
                <w:szCs w:val="20"/>
                <w:lang w:val="en-US"/>
              </w:rPr>
              <w:t>Minimized hazard potential through less toxic, non-volatile, non-inflammable solvents</w:t>
            </w:r>
          </w:p>
        </w:tc>
      </w:tr>
    </w:tbl>
    <w:p w:rsidR="00831076" w:rsidRDefault="00831076">
      <w:pPr>
        <w:rPr>
          <w:rFonts w:ascii="Arial" w:hAnsi="Arial" w:cs="Arial"/>
          <w:b/>
          <w:sz w:val="24"/>
          <w:lang w:val="en-US"/>
        </w:rPr>
      </w:pPr>
    </w:p>
    <w:p w:rsidR="00B22C3E" w:rsidRPr="00B22C3E" w:rsidRDefault="00B22C3E" w:rsidP="00A758AE">
      <w:pPr>
        <w:pStyle w:val="berschrift1"/>
        <w:rPr>
          <w:lang w:val="en-US"/>
        </w:rPr>
      </w:pPr>
      <w:bookmarkStart w:id="19" w:name="_Toc490738023"/>
      <w:r w:rsidRPr="00B22C3E">
        <w:rPr>
          <w:lang w:val="en-US"/>
        </w:rPr>
        <w:lastRenderedPageBreak/>
        <w:t>4. NMR-spectra of the synthesized ILs.</w:t>
      </w:r>
      <w:bookmarkEnd w:id="19"/>
    </w:p>
    <w:p w:rsidR="00B22C3E" w:rsidRDefault="00B22C3E" w:rsidP="00A758AE">
      <w:pPr>
        <w:pStyle w:val="berschrift2"/>
        <w:rPr>
          <w:lang w:val="en-US"/>
        </w:rPr>
      </w:pPr>
      <w:bookmarkStart w:id="20" w:name="_Toc490738024"/>
      <w:r w:rsidRPr="00B22C3E">
        <w:rPr>
          <w:lang w:val="en-US"/>
        </w:rPr>
        <w:t>4.1 NMR-spectra of [C</w:t>
      </w:r>
      <w:r w:rsidRPr="004C70F7">
        <w:rPr>
          <w:vertAlign w:val="subscript"/>
          <w:lang w:val="en-US"/>
        </w:rPr>
        <w:t>4</w:t>
      </w:r>
      <w:r w:rsidRPr="00B22C3E">
        <w:rPr>
          <w:lang w:val="en-US"/>
        </w:rPr>
        <w:noBreakHyphen/>
        <w:t>mim</w:t>
      </w:r>
      <w:proofErr w:type="gramStart"/>
      <w:r w:rsidRPr="00B22C3E">
        <w:rPr>
          <w:lang w:val="en-US"/>
        </w:rPr>
        <w:t>][</w:t>
      </w:r>
      <w:proofErr w:type="gramEnd"/>
      <w:r w:rsidRPr="00B22C3E">
        <w:rPr>
          <w:lang w:val="en-US"/>
        </w:rPr>
        <w:t>Cl]</w:t>
      </w:r>
      <w:bookmarkEnd w:id="20"/>
    </w:p>
    <w:p w:rsidR="00B22C3E" w:rsidRDefault="00B22C3E">
      <w:pPr>
        <w:rPr>
          <w:rFonts w:ascii="Arial" w:hAnsi="Arial" w:cs="Arial"/>
          <w:b/>
          <w:lang w:val="en-US"/>
        </w:rPr>
      </w:pPr>
      <w:r>
        <w:rPr>
          <w:rFonts w:ascii="Arial" w:hAnsi="Arial" w:cs="Arial"/>
          <w:b/>
          <w:noProof/>
          <w:lang w:eastAsia="de-DE"/>
        </w:rPr>
        <w:drawing>
          <wp:inline distT="0" distB="0" distL="0" distR="0" wp14:anchorId="5477D558" wp14:editId="1440864F">
            <wp:extent cx="5314950" cy="3710257"/>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H BMIM Cl.fi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15503" cy="3710643"/>
                    </a:xfrm>
                    <a:prstGeom prst="rect">
                      <a:avLst/>
                    </a:prstGeom>
                  </pic:spPr>
                </pic:pic>
              </a:graphicData>
            </a:graphic>
          </wp:inline>
        </w:drawing>
      </w:r>
    </w:p>
    <w:p w:rsidR="00B22C3E" w:rsidRPr="00880438" w:rsidRDefault="00880438" w:rsidP="00880438">
      <w:pPr>
        <w:pStyle w:val="Beschriftung"/>
        <w:rPr>
          <w:rFonts w:cs="Arial"/>
          <w:szCs w:val="22"/>
          <w:lang w:val="en-US"/>
        </w:rPr>
      </w:pPr>
      <w:bookmarkStart w:id="21" w:name="_Ref484768503"/>
      <w:r w:rsidRPr="00880438">
        <w:rPr>
          <w:szCs w:val="22"/>
          <w:lang w:val="en-US"/>
        </w:rPr>
        <w:t xml:space="preserve">Figure </w:t>
      </w:r>
      <w:r w:rsidRPr="00880438">
        <w:rPr>
          <w:szCs w:val="22"/>
        </w:rPr>
        <w:fldChar w:fldCharType="begin"/>
      </w:r>
      <w:r w:rsidRPr="00880438">
        <w:rPr>
          <w:szCs w:val="22"/>
          <w:lang w:val="en-US"/>
        </w:rPr>
        <w:instrText xml:space="preserve"> SEQ Figure \* ARABIC </w:instrText>
      </w:r>
      <w:r w:rsidRPr="00880438">
        <w:rPr>
          <w:szCs w:val="22"/>
        </w:rPr>
        <w:fldChar w:fldCharType="separate"/>
      </w:r>
      <w:r>
        <w:rPr>
          <w:noProof/>
          <w:szCs w:val="22"/>
          <w:lang w:val="en-US"/>
        </w:rPr>
        <w:t>4</w:t>
      </w:r>
      <w:r w:rsidRPr="00880438">
        <w:rPr>
          <w:szCs w:val="22"/>
        </w:rPr>
        <w:fldChar w:fldCharType="end"/>
      </w:r>
      <w:bookmarkEnd w:id="21"/>
      <w:r w:rsidR="00B22C3E" w:rsidRPr="00880438">
        <w:rPr>
          <w:rFonts w:cs="Arial"/>
          <w:b w:val="0"/>
          <w:szCs w:val="22"/>
          <w:lang w:val="en-US"/>
        </w:rPr>
        <w:t xml:space="preserve"> </w:t>
      </w:r>
      <w:r w:rsidR="00B22C3E" w:rsidRPr="00880438">
        <w:rPr>
          <w:rFonts w:cs="Arial"/>
          <w:b w:val="0"/>
          <w:szCs w:val="22"/>
          <w:vertAlign w:val="superscript"/>
          <w:lang w:val="en-US"/>
        </w:rPr>
        <w:t>1</w:t>
      </w:r>
      <w:r w:rsidR="00B22C3E" w:rsidRPr="00880438">
        <w:rPr>
          <w:rFonts w:cs="Arial"/>
          <w:b w:val="0"/>
          <w:szCs w:val="22"/>
          <w:lang w:val="en-US"/>
        </w:rPr>
        <w:t>H-NMR spectra of [C</w:t>
      </w:r>
      <w:r w:rsidR="00B22C3E" w:rsidRPr="00880438">
        <w:rPr>
          <w:rFonts w:cs="Arial"/>
          <w:b w:val="0"/>
          <w:szCs w:val="22"/>
          <w:vertAlign w:val="subscript"/>
          <w:lang w:val="en-US"/>
        </w:rPr>
        <w:t>4</w:t>
      </w:r>
      <w:r w:rsidR="00B22C3E" w:rsidRPr="00880438">
        <w:rPr>
          <w:rFonts w:cs="Arial"/>
          <w:b w:val="0"/>
          <w:szCs w:val="22"/>
          <w:lang w:val="en-US"/>
        </w:rPr>
        <w:noBreakHyphen/>
        <w:t>mim</w:t>
      </w:r>
      <w:proofErr w:type="gramStart"/>
      <w:r w:rsidR="00B22C3E" w:rsidRPr="00880438">
        <w:rPr>
          <w:rFonts w:cs="Arial"/>
          <w:b w:val="0"/>
          <w:szCs w:val="22"/>
          <w:lang w:val="en-US"/>
        </w:rPr>
        <w:t>][</w:t>
      </w:r>
      <w:proofErr w:type="gramEnd"/>
      <w:r w:rsidR="00B22C3E" w:rsidRPr="00880438">
        <w:rPr>
          <w:rFonts w:cs="Arial"/>
          <w:b w:val="0"/>
          <w:szCs w:val="22"/>
          <w:lang w:val="en-US"/>
        </w:rPr>
        <w:t>Cl].</w:t>
      </w:r>
    </w:p>
    <w:p w:rsidR="00B22C3E" w:rsidRDefault="00B22C3E" w:rsidP="00B22C3E">
      <w:pPr>
        <w:rPr>
          <w:rFonts w:ascii="Arial" w:hAnsi="Arial" w:cs="Arial"/>
          <w:b/>
          <w:lang w:val="en-US"/>
        </w:rPr>
      </w:pPr>
      <w:r>
        <w:rPr>
          <w:rFonts w:ascii="Arial" w:hAnsi="Arial" w:cs="Arial"/>
          <w:b/>
          <w:noProof/>
          <w:lang w:eastAsia="de-DE"/>
        </w:rPr>
        <w:drawing>
          <wp:inline distT="0" distB="0" distL="0" distR="0" wp14:anchorId="0A6D4969" wp14:editId="1DA60A47">
            <wp:extent cx="5355771" cy="373875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H BMIM Cl.fi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55771" cy="3738754"/>
                    </a:xfrm>
                    <a:prstGeom prst="rect">
                      <a:avLst/>
                    </a:prstGeom>
                  </pic:spPr>
                </pic:pic>
              </a:graphicData>
            </a:graphic>
          </wp:inline>
        </w:drawing>
      </w:r>
    </w:p>
    <w:p w:rsidR="004C70F7" w:rsidRPr="00880438" w:rsidRDefault="00880438" w:rsidP="00880438">
      <w:pPr>
        <w:pStyle w:val="Beschriftung"/>
        <w:rPr>
          <w:rFonts w:cs="Arial"/>
          <w:szCs w:val="22"/>
          <w:lang w:val="en-US"/>
        </w:rPr>
      </w:pPr>
      <w:bookmarkStart w:id="22" w:name="_Ref484768507"/>
      <w:r w:rsidRPr="00880438">
        <w:rPr>
          <w:szCs w:val="22"/>
          <w:lang w:val="en-US"/>
        </w:rPr>
        <w:t xml:space="preserve">Figure </w:t>
      </w:r>
      <w:r w:rsidRPr="00880438">
        <w:rPr>
          <w:szCs w:val="22"/>
        </w:rPr>
        <w:fldChar w:fldCharType="begin"/>
      </w:r>
      <w:r w:rsidRPr="00880438">
        <w:rPr>
          <w:szCs w:val="22"/>
          <w:lang w:val="en-US"/>
        </w:rPr>
        <w:instrText xml:space="preserve"> SEQ Figure \* ARABIC </w:instrText>
      </w:r>
      <w:r w:rsidRPr="00880438">
        <w:rPr>
          <w:szCs w:val="22"/>
        </w:rPr>
        <w:fldChar w:fldCharType="separate"/>
      </w:r>
      <w:r>
        <w:rPr>
          <w:noProof/>
          <w:szCs w:val="22"/>
          <w:lang w:val="en-US"/>
        </w:rPr>
        <w:t>5</w:t>
      </w:r>
      <w:r w:rsidRPr="00880438">
        <w:rPr>
          <w:szCs w:val="22"/>
        </w:rPr>
        <w:fldChar w:fldCharType="end"/>
      </w:r>
      <w:bookmarkEnd w:id="22"/>
      <w:r w:rsidRPr="00880438">
        <w:rPr>
          <w:szCs w:val="22"/>
          <w:lang w:val="en-US"/>
        </w:rPr>
        <w:t xml:space="preserve">. </w:t>
      </w:r>
      <w:proofErr w:type="gramStart"/>
      <w:r w:rsidR="00B22C3E" w:rsidRPr="00880438">
        <w:rPr>
          <w:rFonts w:cs="Arial"/>
          <w:b w:val="0"/>
          <w:szCs w:val="22"/>
          <w:vertAlign w:val="superscript"/>
          <w:lang w:val="en-US"/>
        </w:rPr>
        <w:t>13</w:t>
      </w:r>
      <w:r w:rsidR="00B22C3E" w:rsidRPr="00880438">
        <w:rPr>
          <w:rFonts w:cs="Arial"/>
          <w:b w:val="0"/>
          <w:szCs w:val="22"/>
          <w:lang w:val="en-US"/>
        </w:rPr>
        <w:t>C{</w:t>
      </w:r>
      <w:proofErr w:type="gramEnd"/>
      <w:r w:rsidR="00B22C3E" w:rsidRPr="00880438">
        <w:rPr>
          <w:rFonts w:cs="Arial"/>
          <w:b w:val="0"/>
          <w:szCs w:val="22"/>
          <w:vertAlign w:val="superscript"/>
          <w:lang w:val="en-US"/>
        </w:rPr>
        <w:t>1</w:t>
      </w:r>
      <w:r w:rsidR="00B22C3E" w:rsidRPr="00880438">
        <w:rPr>
          <w:rFonts w:cs="Arial"/>
          <w:b w:val="0"/>
          <w:szCs w:val="22"/>
          <w:lang w:val="en-US"/>
        </w:rPr>
        <w:t>H}-NMR spectra of [C</w:t>
      </w:r>
      <w:r w:rsidR="00B22C3E" w:rsidRPr="00880438">
        <w:rPr>
          <w:rFonts w:cs="Arial"/>
          <w:b w:val="0"/>
          <w:szCs w:val="22"/>
          <w:vertAlign w:val="subscript"/>
          <w:lang w:val="en-US"/>
        </w:rPr>
        <w:t>4</w:t>
      </w:r>
      <w:r w:rsidR="00B22C3E" w:rsidRPr="00880438">
        <w:rPr>
          <w:rFonts w:cs="Arial"/>
          <w:b w:val="0"/>
          <w:szCs w:val="22"/>
          <w:lang w:val="en-US"/>
        </w:rPr>
        <w:noBreakHyphen/>
        <w:t>mim][Cl].</w:t>
      </w:r>
    </w:p>
    <w:p w:rsidR="004C70F7" w:rsidRPr="004C70F7" w:rsidRDefault="00831076" w:rsidP="00B22C3E">
      <w:pPr>
        <w:rPr>
          <w:rFonts w:ascii="Arial" w:hAnsi="Arial" w:cs="Arial"/>
          <w:b/>
          <w:lang w:val="en-US"/>
        </w:rPr>
      </w:pPr>
      <w:r>
        <w:rPr>
          <w:rFonts w:ascii="Arial" w:hAnsi="Arial" w:cs="Arial"/>
          <w:b/>
          <w:lang w:val="en-US"/>
        </w:rPr>
        <w:lastRenderedPageBreak/>
        <w:t>4.2</w:t>
      </w:r>
      <w:r w:rsidR="004C70F7" w:rsidRPr="00B22C3E">
        <w:rPr>
          <w:rFonts w:ascii="Arial" w:hAnsi="Arial" w:cs="Arial"/>
          <w:b/>
          <w:lang w:val="en-US"/>
        </w:rPr>
        <w:t xml:space="preserve"> NMR-spectra of [</w:t>
      </w:r>
      <w:r w:rsidR="004C70F7">
        <w:rPr>
          <w:rFonts w:ascii="Arial" w:hAnsi="Arial" w:cs="Arial"/>
          <w:b/>
          <w:lang w:val="en-US"/>
        </w:rPr>
        <w:t>Et</w:t>
      </w:r>
      <w:r w:rsidR="004C70F7">
        <w:rPr>
          <w:rFonts w:ascii="Arial" w:hAnsi="Arial" w:cs="Arial"/>
          <w:b/>
          <w:vertAlign w:val="subscript"/>
          <w:lang w:val="en-US"/>
        </w:rPr>
        <w:t>3</w:t>
      </w:r>
      <w:r w:rsidR="004C70F7">
        <w:rPr>
          <w:rFonts w:ascii="Arial" w:hAnsi="Arial" w:cs="Arial"/>
          <w:b/>
          <w:lang w:val="en-US"/>
        </w:rPr>
        <w:t>NH</w:t>
      </w:r>
      <w:proofErr w:type="gramStart"/>
      <w:r w:rsidR="004C70F7">
        <w:rPr>
          <w:rFonts w:ascii="Arial" w:hAnsi="Arial" w:cs="Arial"/>
          <w:b/>
          <w:lang w:val="en-US"/>
        </w:rPr>
        <w:t>][</w:t>
      </w:r>
      <w:proofErr w:type="gramEnd"/>
      <w:r w:rsidR="004C70F7">
        <w:rPr>
          <w:rFonts w:ascii="Arial" w:hAnsi="Arial" w:cs="Arial"/>
          <w:b/>
          <w:lang w:val="en-US"/>
        </w:rPr>
        <w:t>SO</w:t>
      </w:r>
      <w:r w:rsidR="004C70F7">
        <w:rPr>
          <w:rFonts w:ascii="Arial" w:hAnsi="Arial" w:cs="Arial"/>
          <w:b/>
          <w:vertAlign w:val="subscript"/>
          <w:lang w:val="en-US"/>
        </w:rPr>
        <w:t>3</w:t>
      </w:r>
      <w:r w:rsidR="004C70F7">
        <w:rPr>
          <w:rFonts w:ascii="Arial" w:hAnsi="Arial" w:cs="Arial"/>
          <w:b/>
          <w:lang w:val="en-US"/>
        </w:rPr>
        <w:t>Me</w:t>
      </w:r>
      <w:r w:rsidR="004C70F7" w:rsidRPr="00B22C3E">
        <w:rPr>
          <w:rFonts w:ascii="Arial" w:hAnsi="Arial" w:cs="Arial"/>
          <w:b/>
          <w:lang w:val="en-US"/>
        </w:rPr>
        <w:t>]</w:t>
      </w:r>
    </w:p>
    <w:p w:rsidR="004C70F7" w:rsidRDefault="004C70F7" w:rsidP="004C70F7">
      <w:pPr>
        <w:rPr>
          <w:rFonts w:ascii="Arial" w:hAnsi="Arial" w:cs="Arial"/>
          <w:b/>
          <w:lang w:val="en-US"/>
        </w:rPr>
      </w:pPr>
      <w:r>
        <w:rPr>
          <w:rFonts w:ascii="Arial" w:hAnsi="Arial" w:cs="Arial"/>
          <w:b/>
          <w:noProof/>
          <w:lang w:eastAsia="de-DE"/>
        </w:rPr>
        <w:drawing>
          <wp:inline distT="0" distB="0" distL="0" distR="0" wp14:anchorId="05E50410" wp14:editId="3DD98B1E">
            <wp:extent cx="5540697" cy="3867847"/>
            <wp:effectExtent l="0" t="0" r="317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H BMIM Cl.fi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40697" cy="3867847"/>
                    </a:xfrm>
                    <a:prstGeom prst="rect">
                      <a:avLst/>
                    </a:prstGeom>
                  </pic:spPr>
                </pic:pic>
              </a:graphicData>
            </a:graphic>
          </wp:inline>
        </w:drawing>
      </w:r>
    </w:p>
    <w:p w:rsidR="004C70F7" w:rsidRPr="00880438" w:rsidRDefault="00880438" w:rsidP="00880438">
      <w:pPr>
        <w:pStyle w:val="Beschriftung"/>
        <w:rPr>
          <w:rFonts w:cs="Arial"/>
          <w:szCs w:val="22"/>
          <w:lang w:val="en-US"/>
        </w:rPr>
      </w:pPr>
      <w:bookmarkStart w:id="23" w:name="_Ref484768594"/>
      <w:r w:rsidRPr="00880438">
        <w:rPr>
          <w:szCs w:val="22"/>
          <w:lang w:val="en-US"/>
        </w:rPr>
        <w:t xml:space="preserve">Figure </w:t>
      </w:r>
      <w:r w:rsidRPr="00880438">
        <w:rPr>
          <w:szCs w:val="22"/>
        </w:rPr>
        <w:fldChar w:fldCharType="begin"/>
      </w:r>
      <w:r w:rsidRPr="00880438">
        <w:rPr>
          <w:szCs w:val="22"/>
          <w:lang w:val="en-US"/>
        </w:rPr>
        <w:instrText xml:space="preserve"> SEQ Figure \* ARABIC </w:instrText>
      </w:r>
      <w:r w:rsidRPr="00880438">
        <w:rPr>
          <w:szCs w:val="22"/>
        </w:rPr>
        <w:fldChar w:fldCharType="separate"/>
      </w:r>
      <w:r>
        <w:rPr>
          <w:noProof/>
          <w:szCs w:val="22"/>
          <w:lang w:val="en-US"/>
        </w:rPr>
        <w:t>6</w:t>
      </w:r>
      <w:r w:rsidRPr="00880438">
        <w:rPr>
          <w:szCs w:val="22"/>
        </w:rPr>
        <w:fldChar w:fldCharType="end"/>
      </w:r>
      <w:bookmarkEnd w:id="23"/>
      <w:r w:rsidRPr="00880438">
        <w:rPr>
          <w:szCs w:val="22"/>
          <w:lang w:val="en-US"/>
        </w:rPr>
        <w:t xml:space="preserve">. </w:t>
      </w:r>
      <w:r w:rsidR="004C70F7" w:rsidRPr="00880438">
        <w:rPr>
          <w:rFonts w:cs="Arial"/>
          <w:b w:val="0"/>
          <w:szCs w:val="22"/>
          <w:vertAlign w:val="superscript"/>
          <w:lang w:val="en-US"/>
        </w:rPr>
        <w:t>1</w:t>
      </w:r>
      <w:r w:rsidR="004C70F7" w:rsidRPr="00880438">
        <w:rPr>
          <w:rFonts w:cs="Arial"/>
          <w:b w:val="0"/>
          <w:szCs w:val="22"/>
          <w:lang w:val="en-US"/>
        </w:rPr>
        <w:t>H-NMR spectra of [Et</w:t>
      </w:r>
      <w:r w:rsidR="004C70F7" w:rsidRPr="00880438">
        <w:rPr>
          <w:rFonts w:cs="Arial"/>
          <w:b w:val="0"/>
          <w:szCs w:val="22"/>
          <w:vertAlign w:val="subscript"/>
          <w:lang w:val="en-US"/>
        </w:rPr>
        <w:t>3</w:t>
      </w:r>
      <w:r w:rsidR="004C70F7" w:rsidRPr="00880438">
        <w:rPr>
          <w:rFonts w:cs="Arial"/>
          <w:b w:val="0"/>
          <w:szCs w:val="22"/>
          <w:lang w:val="en-US"/>
        </w:rPr>
        <w:t>NH</w:t>
      </w:r>
      <w:proofErr w:type="gramStart"/>
      <w:r w:rsidR="004C70F7" w:rsidRPr="00880438">
        <w:rPr>
          <w:rFonts w:cs="Arial"/>
          <w:b w:val="0"/>
          <w:szCs w:val="22"/>
          <w:lang w:val="en-US"/>
        </w:rPr>
        <w:t>][</w:t>
      </w:r>
      <w:proofErr w:type="gramEnd"/>
      <w:r w:rsidR="004C70F7" w:rsidRPr="00880438">
        <w:rPr>
          <w:rFonts w:cs="Arial"/>
          <w:b w:val="0"/>
          <w:szCs w:val="22"/>
          <w:lang w:val="en-US"/>
        </w:rPr>
        <w:t>SO</w:t>
      </w:r>
      <w:r w:rsidR="004C70F7" w:rsidRPr="00880438">
        <w:rPr>
          <w:rFonts w:cs="Arial"/>
          <w:b w:val="0"/>
          <w:szCs w:val="22"/>
          <w:vertAlign w:val="subscript"/>
          <w:lang w:val="en-US"/>
        </w:rPr>
        <w:t>3</w:t>
      </w:r>
      <w:r w:rsidR="004C70F7" w:rsidRPr="00880438">
        <w:rPr>
          <w:rFonts w:cs="Arial"/>
          <w:b w:val="0"/>
          <w:szCs w:val="22"/>
          <w:lang w:val="en-US"/>
        </w:rPr>
        <w:t>Me].</w:t>
      </w:r>
    </w:p>
    <w:p w:rsidR="004C70F7" w:rsidRDefault="004C70F7" w:rsidP="004C70F7">
      <w:pPr>
        <w:rPr>
          <w:rFonts w:ascii="Arial" w:hAnsi="Arial" w:cs="Arial"/>
          <w:b/>
          <w:lang w:val="en-US"/>
        </w:rPr>
      </w:pPr>
      <w:r>
        <w:rPr>
          <w:rFonts w:ascii="Arial" w:hAnsi="Arial" w:cs="Arial"/>
          <w:b/>
          <w:noProof/>
          <w:lang w:eastAsia="de-DE"/>
        </w:rPr>
        <w:drawing>
          <wp:inline distT="0" distB="0" distL="0" distR="0" wp14:anchorId="5DBAC54E" wp14:editId="61301F25">
            <wp:extent cx="5588299" cy="3901077"/>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H BMIM Cl.fi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88299" cy="3901077"/>
                    </a:xfrm>
                    <a:prstGeom prst="rect">
                      <a:avLst/>
                    </a:prstGeom>
                  </pic:spPr>
                </pic:pic>
              </a:graphicData>
            </a:graphic>
          </wp:inline>
        </w:drawing>
      </w:r>
    </w:p>
    <w:p w:rsidR="00B22C3E" w:rsidRPr="00880438" w:rsidRDefault="00880438" w:rsidP="00880438">
      <w:pPr>
        <w:pStyle w:val="Beschriftung"/>
        <w:rPr>
          <w:rFonts w:cs="Arial"/>
          <w:szCs w:val="22"/>
          <w:lang w:val="en-US"/>
        </w:rPr>
      </w:pPr>
      <w:bookmarkStart w:id="24" w:name="_Ref484768597"/>
      <w:r w:rsidRPr="00880438">
        <w:rPr>
          <w:szCs w:val="22"/>
          <w:lang w:val="en-US"/>
        </w:rPr>
        <w:t xml:space="preserve">Figure </w:t>
      </w:r>
      <w:r w:rsidRPr="00880438">
        <w:rPr>
          <w:szCs w:val="22"/>
        </w:rPr>
        <w:fldChar w:fldCharType="begin"/>
      </w:r>
      <w:r w:rsidRPr="00880438">
        <w:rPr>
          <w:szCs w:val="22"/>
          <w:lang w:val="en-US"/>
        </w:rPr>
        <w:instrText xml:space="preserve"> SEQ Figure \* ARABIC </w:instrText>
      </w:r>
      <w:r w:rsidRPr="00880438">
        <w:rPr>
          <w:szCs w:val="22"/>
        </w:rPr>
        <w:fldChar w:fldCharType="separate"/>
      </w:r>
      <w:r w:rsidRPr="00880438">
        <w:rPr>
          <w:noProof/>
          <w:szCs w:val="22"/>
          <w:lang w:val="en-US"/>
        </w:rPr>
        <w:t>7</w:t>
      </w:r>
      <w:r w:rsidRPr="00880438">
        <w:rPr>
          <w:szCs w:val="22"/>
        </w:rPr>
        <w:fldChar w:fldCharType="end"/>
      </w:r>
      <w:bookmarkEnd w:id="24"/>
      <w:r w:rsidRPr="00880438">
        <w:rPr>
          <w:szCs w:val="22"/>
          <w:lang w:val="en-US"/>
        </w:rPr>
        <w:t>.</w:t>
      </w:r>
      <w:r w:rsidR="004C70F7" w:rsidRPr="00880438">
        <w:rPr>
          <w:rFonts w:cs="Arial"/>
          <w:b w:val="0"/>
          <w:szCs w:val="22"/>
          <w:lang w:val="en-US"/>
        </w:rPr>
        <w:t xml:space="preserve"> </w:t>
      </w:r>
      <w:proofErr w:type="gramStart"/>
      <w:r w:rsidR="004C70F7" w:rsidRPr="00880438">
        <w:rPr>
          <w:rFonts w:cs="Arial"/>
          <w:b w:val="0"/>
          <w:szCs w:val="22"/>
          <w:vertAlign w:val="superscript"/>
          <w:lang w:val="en-US"/>
        </w:rPr>
        <w:t>13</w:t>
      </w:r>
      <w:r w:rsidR="004C70F7" w:rsidRPr="00880438">
        <w:rPr>
          <w:rFonts w:cs="Arial"/>
          <w:b w:val="0"/>
          <w:szCs w:val="22"/>
          <w:lang w:val="en-US"/>
        </w:rPr>
        <w:t>C{</w:t>
      </w:r>
      <w:proofErr w:type="gramEnd"/>
      <w:r w:rsidR="004C70F7" w:rsidRPr="00880438">
        <w:rPr>
          <w:rFonts w:cs="Arial"/>
          <w:b w:val="0"/>
          <w:szCs w:val="22"/>
          <w:vertAlign w:val="superscript"/>
          <w:lang w:val="en-US"/>
        </w:rPr>
        <w:t>1</w:t>
      </w:r>
      <w:r w:rsidR="004C70F7" w:rsidRPr="00880438">
        <w:rPr>
          <w:rFonts w:cs="Arial"/>
          <w:b w:val="0"/>
          <w:szCs w:val="22"/>
          <w:lang w:val="en-US"/>
        </w:rPr>
        <w:t>H}-NMR spectra of [Et</w:t>
      </w:r>
      <w:r w:rsidR="004C70F7" w:rsidRPr="00880438">
        <w:rPr>
          <w:rFonts w:cs="Arial"/>
          <w:b w:val="0"/>
          <w:szCs w:val="22"/>
          <w:vertAlign w:val="subscript"/>
          <w:lang w:val="en-US"/>
        </w:rPr>
        <w:t>3</w:t>
      </w:r>
      <w:r w:rsidR="004C70F7" w:rsidRPr="00880438">
        <w:rPr>
          <w:rFonts w:cs="Arial"/>
          <w:b w:val="0"/>
          <w:szCs w:val="22"/>
          <w:lang w:val="en-US"/>
        </w:rPr>
        <w:t>NH][SO</w:t>
      </w:r>
      <w:r w:rsidR="004C70F7" w:rsidRPr="00880438">
        <w:rPr>
          <w:rFonts w:cs="Arial"/>
          <w:b w:val="0"/>
          <w:szCs w:val="22"/>
          <w:vertAlign w:val="subscript"/>
          <w:lang w:val="en-US"/>
        </w:rPr>
        <w:t>3</w:t>
      </w:r>
      <w:r w:rsidR="004C70F7" w:rsidRPr="00880438">
        <w:rPr>
          <w:rFonts w:cs="Arial"/>
          <w:b w:val="0"/>
          <w:szCs w:val="22"/>
          <w:lang w:val="en-US"/>
        </w:rPr>
        <w:t>Me].</w:t>
      </w:r>
    </w:p>
    <w:p w:rsidR="00EA0133" w:rsidRPr="00876128" w:rsidRDefault="00876128" w:rsidP="002B39BC">
      <w:pPr>
        <w:pStyle w:val="berschrift1"/>
        <w:rPr>
          <w:lang w:val="en-US"/>
        </w:rPr>
      </w:pPr>
      <w:bookmarkStart w:id="25" w:name="_Toc490738025"/>
      <w:r>
        <w:rPr>
          <w:lang w:val="en-US"/>
        </w:rPr>
        <w:lastRenderedPageBreak/>
        <w:t>5. References</w:t>
      </w:r>
      <w:bookmarkEnd w:id="25"/>
    </w:p>
    <w:p w:rsidR="009939DC" w:rsidRPr="0071424E" w:rsidRDefault="00EA0133" w:rsidP="009939DC">
      <w:pPr>
        <w:widowControl w:val="0"/>
        <w:autoSpaceDE w:val="0"/>
        <w:autoSpaceDN w:val="0"/>
        <w:adjustRightInd w:val="0"/>
        <w:spacing w:line="240" w:lineRule="auto"/>
        <w:ind w:left="640" w:hanging="640"/>
        <w:rPr>
          <w:rFonts w:ascii="Arial" w:hAnsi="Arial" w:cs="Arial"/>
          <w:noProof/>
          <w:sz w:val="20"/>
          <w:szCs w:val="24"/>
          <w:lang w:val="en-US"/>
        </w:rPr>
      </w:pPr>
      <w:r>
        <w:rPr>
          <w:rFonts w:ascii="Arial" w:hAnsi="Arial" w:cs="Arial"/>
          <w:sz w:val="20"/>
          <w:lang w:val="en-US"/>
        </w:rPr>
        <w:fldChar w:fldCharType="begin" w:fldLock="1"/>
      </w:r>
      <w:r>
        <w:rPr>
          <w:rFonts w:ascii="Arial" w:hAnsi="Arial" w:cs="Arial"/>
          <w:sz w:val="20"/>
          <w:lang w:val="en-US"/>
        </w:rPr>
        <w:instrText xml:space="preserve">ADDIN Mendeley Bibliography CSL_BIBLIOGRAPHY </w:instrText>
      </w:r>
      <w:r>
        <w:rPr>
          <w:rFonts w:ascii="Arial" w:hAnsi="Arial" w:cs="Arial"/>
          <w:sz w:val="20"/>
          <w:lang w:val="en-US"/>
        </w:rPr>
        <w:fldChar w:fldCharType="separate"/>
      </w:r>
      <w:r w:rsidR="009939DC" w:rsidRPr="0071424E">
        <w:rPr>
          <w:rFonts w:ascii="Arial" w:hAnsi="Arial" w:cs="Arial"/>
          <w:noProof/>
          <w:sz w:val="20"/>
          <w:szCs w:val="24"/>
          <w:lang w:val="en-US"/>
        </w:rPr>
        <w:t xml:space="preserve">(1) </w:t>
      </w:r>
      <w:r w:rsidR="009939DC" w:rsidRPr="0071424E">
        <w:rPr>
          <w:rFonts w:ascii="Arial" w:hAnsi="Arial" w:cs="Arial"/>
          <w:noProof/>
          <w:sz w:val="20"/>
          <w:szCs w:val="24"/>
          <w:lang w:val="en-US"/>
        </w:rPr>
        <w:tab/>
        <w:t xml:space="preserve">Warner, P. A. J. </w:t>
      </w:r>
      <w:r w:rsidR="009939DC" w:rsidRPr="0071424E">
        <w:rPr>
          <w:rFonts w:ascii="Arial" w:hAnsi="Arial" w:cs="Arial"/>
          <w:i/>
          <w:iCs/>
          <w:noProof/>
          <w:sz w:val="20"/>
          <w:szCs w:val="24"/>
          <w:lang w:val="en-US"/>
        </w:rPr>
        <w:t>Green Chemistry: Theory and Practice</w:t>
      </w:r>
      <w:r w:rsidR="009939DC" w:rsidRPr="0071424E">
        <w:rPr>
          <w:rFonts w:ascii="Arial" w:hAnsi="Arial" w:cs="Arial"/>
          <w:noProof/>
          <w:sz w:val="20"/>
          <w:szCs w:val="24"/>
          <w:lang w:val="en-US"/>
        </w:rPr>
        <w:t>; Oxford University Press, 2000.</w:t>
      </w:r>
    </w:p>
    <w:p w:rsidR="009939DC" w:rsidRPr="0071424E" w:rsidRDefault="009939DC" w:rsidP="009939DC">
      <w:pPr>
        <w:widowControl w:val="0"/>
        <w:autoSpaceDE w:val="0"/>
        <w:autoSpaceDN w:val="0"/>
        <w:adjustRightInd w:val="0"/>
        <w:spacing w:line="240" w:lineRule="auto"/>
        <w:ind w:left="640" w:hanging="640"/>
        <w:rPr>
          <w:rFonts w:ascii="Arial" w:hAnsi="Arial" w:cs="Arial"/>
          <w:noProof/>
          <w:sz w:val="20"/>
          <w:szCs w:val="24"/>
          <w:lang w:val="en-US"/>
        </w:rPr>
      </w:pPr>
      <w:r w:rsidRPr="0071424E">
        <w:rPr>
          <w:rFonts w:ascii="Arial" w:hAnsi="Arial" w:cs="Arial"/>
          <w:noProof/>
          <w:sz w:val="20"/>
          <w:szCs w:val="24"/>
          <w:lang w:val="en-US"/>
        </w:rPr>
        <w:t xml:space="preserve">(2) </w:t>
      </w:r>
      <w:r w:rsidRPr="0071424E">
        <w:rPr>
          <w:rFonts w:ascii="Arial" w:hAnsi="Arial" w:cs="Arial"/>
          <w:noProof/>
          <w:sz w:val="20"/>
          <w:szCs w:val="24"/>
          <w:lang w:val="en-US"/>
        </w:rPr>
        <w:tab/>
        <w:t xml:space="preserve">Poliakoff, M.; Fitzpatrick, J. M.; Farren, T. R.; Anastas, P. T. </w:t>
      </w:r>
      <w:r w:rsidRPr="0071424E">
        <w:rPr>
          <w:rFonts w:ascii="Arial" w:hAnsi="Arial" w:cs="Arial"/>
          <w:i/>
          <w:iCs/>
          <w:noProof/>
          <w:sz w:val="20"/>
          <w:szCs w:val="24"/>
          <w:lang w:val="en-US"/>
        </w:rPr>
        <w:t>Science (80-. ).</w:t>
      </w:r>
      <w:r w:rsidRPr="0071424E">
        <w:rPr>
          <w:rFonts w:ascii="Arial" w:hAnsi="Arial" w:cs="Arial"/>
          <w:noProof/>
          <w:sz w:val="20"/>
          <w:szCs w:val="24"/>
          <w:lang w:val="en-US"/>
        </w:rPr>
        <w:t xml:space="preserve"> </w:t>
      </w:r>
      <w:r w:rsidRPr="0071424E">
        <w:rPr>
          <w:rFonts w:ascii="Arial" w:hAnsi="Arial" w:cs="Arial"/>
          <w:b/>
          <w:bCs/>
          <w:noProof/>
          <w:sz w:val="20"/>
          <w:szCs w:val="24"/>
          <w:lang w:val="en-US"/>
        </w:rPr>
        <w:t>2002</w:t>
      </w:r>
      <w:r w:rsidRPr="0071424E">
        <w:rPr>
          <w:rFonts w:ascii="Arial" w:hAnsi="Arial" w:cs="Arial"/>
          <w:noProof/>
          <w:sz w:val="20"/>
          <w:szCs w:val="24"/>
          <w:lang w:val="en-US"/>
        </w:rPr>
        <w:t xml:space="preserve">, </w:t>
      </w:r>
      <w:r w:rsidRPr="0071424E">
        <w:rPr>
          <w:rFonts w:ascii="Arial" w:hAnsi="Arial" w:cs="Arial"/>
          <w:i/>
          <w:iCs/>
          <w:noProof/>
          <w:sz w:val="20"/>
          <w:szCs w:val="24"/>
          <w:lang w:val="en-US"/>
        </w:rPr>
        <w:t>297</w:t>
      </w:r>
      <w:r w:rsidRPr="0071424E">
        <w:rPr>
          <w:rFonts w:ascii="Arial" w:hAnsi="Arial" w:cs="Arial"/>
          <w:noProof/>
          <w:sz w:val="20"/>
          <w:szCs w:val="24"/>
          <w:lang w:val="en-US"/>
        </w:rPr>
        <w:t xml:space="preserve"> (5582), 807–810.</w:t>
      </w:r>
    </w:p>
    <w:p w:rsidR="009939DC" w:rsidRPr="0071424E" w:rsidRDefault="009939DC" w:rsidP="009939DC">
      <w:pPr>
        <w:widowControl w:val="0"/>
        <w:autoSpaceDE w:val="0"/>
        <w:autoSpaceDN w:val="0"/>
        <w:adjustRightInd w:val="0"/>
        <w:spacing w:line="240" w:lineRule="auto"/>
        <w:ind w:left="640" w:hanging="640"/>
        <w:rPr>
          <w:rFonts w:ascii="Arial" w:hAnsi="Arial" w:cs="Arial"/>
          <w:noProof/>
          <w:sz w:val="20"/>
          <w:szCs w:val="24"/>
          <w:lang w:val="en-US"/>
        </w:rPr>
      </w:pPr>
      <w:r w:rsidRPr="0071424E">
        <w:rPr>
          <w:rFonts w:ascii="Arial" w:hAnsi="Arial" w:cs="Arial"/>
          <w:noProof/>
          <w:sz w:val="20"/>
          <w:szCs w:val="24"/>
          <w:lang w:val="en-US"/>
        </w:rPr>
        <w:t xml:space="preserve">(3) </w:t>
      </w:r>
      <w:r w:rsidRPr="0071424E">
        <w:rPr>
          <w:rFonts w:ascii="Arial" w:hAnsi="Arial" w:cs="Arial"/>
          <w:noProof/>
          <w:sz w:val="20"/>
          <w:szCs w:val="24"/>
          <w:lang w:val="en-US"/>
        </w:rPr>
        <w:tab/>
        <w:t xml:space="preserve">Galkin, M. V.; Samec, J. S. M. </w:t>
      </w:r>
      <w:r w:rsidRPr="0071424E">
        <w:rPr>
          <w:rFonts w:ascii="Arial" w:hAnsi="Arial" w:cs="Arial"/>
          <w:i/>
          <w:iCs/>
          <w:noProof/>
          <w:sz w:val="20"/>
          <w:szCs w:val="24"/>
          <w:lang w:val="en-US"/>
        </w:rPr>
        <w:t>ChemSusChem</w:t>
      </w:r>
      <w:r w:rsidRPr="0071424E">
        <w:rPr>
          <w:rFonts w:ascii="Arial" w:hAnsi="Arial" w:cs="Arial"/>
          <w:noProof/>
          <w:sz w:val="20"/>
          <w:szCs w:val="24"/>
          <w:lang w:val="en-US"/>
        </w:rPr>
        <w:t xml:space="preserve"> </w:t>
      </w:r>
      <w:r w:rsidRPr="0071424E">
        <w:rPr>
          <w:rFonts w:ascii="Arial" w:hAnsi="Arial" w:cs="Arial"/>
          <w:b/>
          <w:bCs/>
          <w:noProof/>
          <w:sz w:val="20"/>
          <w:szCs w:val="24"/>
          <w:lang w:val="en-US"/>
        </w:rPr>
        <w:t>2016</w:t>
      </w:r>
      <w:r w:rsidRPr="0071424E">
        <w:rPr>
          <w:rFonts w:ascii="Arial" w:hAnsi="Arial" w:cs="Arial"/>
          <w:noProof/>
          <w:sz w:val="20"/>
          <w:szCs w:val="24"/>
          <w:lang w:val="en-US"/>
        </w:rPr>
        <w:t xml:space="preserve">, </w:t>
      </w:r>
      <w:r w:rsidRPr="0071424E">
        <w:rPr>
          <w:rFonts w:ascii="Arial" w:hAnsi="Arial" w:cs="Arial"/>
          <w:i/>
          <w:iCs/>
          <w:noProof/>
          <w:sz w:val="20"/>
          <w:szCs w:val="24"/>
          <w:lang w:val="en-US"/>
        </w:rPr>
        <w:t>9</w:t>
      </w:r>
      <w:r w:rsidRPr="0071424E">
        <w:rPr>
          <w:rFonts w:ascii="Arial" w:hAnsi="Arial" w:cs="Arial"/>
          <w:noProof/>
          <w:sz w:val="20"/>
          <w:szCs w:val="24"/>
          <w:lang w:val="en-US"/>
        </w:rPr>
        <w:t xml:space="preserve"> (13), 1544–1558.</w:t>
      </w:r>
    </w:p>
    <w:p w:rsidR="009939DC" w:rsidRPr="0071424E" w:rsidRDefault="009939DC" w:rsidP="009939DC">
      <w:pPr>
        <w:widowControl w:val="0"/>
        <w:autoSpaceDE w:val="0"/>
        <w:autoSpaceDN w:val="0"/>
        <w:adjustRightInd w:val="0"/>
        <w:spacing w:line="240" w:lineRule="auto"/>
        <w:ind w:left="640" w:hanging="640"/>
        <w:rPr>
          <w:rFonts w:ascii="Arial" w:hAnsi="Arial" w:cs="Arial"/>
          <w:noProof/>
          <w:sz w:val="20"/>
          <w:szCs w:val="24"/>
          <w:lang w:val="en-US"/>
        </w:rPr>
      </w:pPr>
      <w:r w:rsidRPr="0071424E">
        <w:rPr>
          <w:rFonts w:ascii="Arial" w:hAnsi="Arial" w:cs="Arial"/>
          <w:noProof/>
          <w:sz w:val="20"/>
          <w:szCs w:val="24"/>
          <w:lang w:val="en-US"/>
        </w:rPr>
        <w:t xml:space="preserve">(4) </w:t>
      </w:r>
      <w:r w:rsidRPr="0071424E">
        <w:rPr>
          <w:rFonts w:ascii="Arial" w:hAnsi="Arial" w:cs="Arial"/>
          <w:noProof/>
          <w:sz w:val="20"/>
          <w:szCs w:val="24"/>
          <w:lang w:val="en-US"/>
        </w:rPr>
        <w:tab/>
        <w:t xml:space="preserve">Brandt, A.; Chen, L.; van Dongen, B. E.; Welton, T.; Hallett, J. P. </w:t>
      </w:r>
      <w:r w:rsidRPr="0071424E">
        <w:rPr>
          <w:rFonts w:ascii="Arial" w:hAnsi="Arial" w:cs="Arial"/>
          <w:i/>
          <w:iCs/>
          <w:noProof/>
          <w:sz w:val="20"/>
          <w:szCs w:val="24"/>
          <w:lang w:val="en-US"/>
        </w:rPr>
        <w:t>Green Chem.</w:t>
      </w:r>
      <w:r w:rsidRPr="0071424E">
        <w:rPr>
          <w:rFonts w:ascii="Arial" w:hAnsi="Arial" w:cs="Arial"/>
          <w:noProof/>
          <w:sz w:val="20"/>
          <w:szCs w:val="24"/>
          <w:lang w:val="en-US"/>
        </w:rPr>
        <w:t xml:space="preserve"> </w:t>
      </w:r>
      <w:r w:rsidRPr="0071424E">
        <w:rPr>
          <w:rFonts w:ascii="Arial" w:hAnsi="Arial" w:cs="Arial"/>
          <w:b/>
          <w:bCs/>
          <w:noProof/>
          <w:sz w:val="20"/>
          <w:szCs w:val="24"/>
          <w:lang w:val="en-US"/>
        </w:rPr>
        <w:t>2015</w:t>
      </w:r>
      <w:r w:rsidRPr="0071424E">
        <w:rPr>
          <w:rFonts w:ascii="Arial" w:hAnsi="Arial" w:cs="Arial"/>
          <w:noProof/>
          <w:sz w:val="20"/>
          <w:szCs w:val="24"/>
          <w:lang w:val="en-US"/>
        </w:rPr>
        <w:t xml:space="preserve">, </w:t>
      </w:r>
      <w:r w:rsidRPr="0071424E">
        <w:rPr>
          <w:rFonts w:ascii="Arial" w:hAnsi="Arial" w:cs="Arial"/>
          <w:i/>
          <w:iCs/>
          <w:noProof/>
          <w:sz w:val="20"/>
          <w:szCs w:val="24"/>
          <w:lang w:val="en-US"/>
        </w:rPr>
        <w:t>17</w:t>
      </w:r>
      <w:r w:rsidRPr="0071424E">
        <w:rPr>
          <w:rFonts w:ascii="Arial" w:hAnsi="Arial" w:cs="Arial"/>
          <w:noProof/>
          <w:sz w:val="20"/>
          <w:szCs w:val="24"/>
          <w:lang w:val="en-US"/>
        </w:rPr>
        <w:t xml:space="preserve"> (11), 5019–5034.</w:t>
      </w:r>
    </w:p>
    <w:p w:rsidR="009939DC" w:rsidRPr="0071424E" w:rsidRDefault="009939DC" w:rsidP="009939DC">
      <w:pPr>
        <w:widowControl w:val="0"/>
        <w:autoSpaceDE w:val="0"/>
        <w:autoSpaceDN w:val="0"/>
        <w:adjustRightInd w:val="0"/>
        <w:spacing w:line="240" w:lineRule="auto"/>
        <w:ind w:left="640" w:hanging="640"/>
        <w:rPr>
          <w:rFonts w:ascii="Arial" w:hAnsi="Arial" w:cs="Arial"/>
          <w:noProof/>
          <w:sz w:val="20"/>
          <w:szCs w:val="24"/>
          <w:lang w:val="en-US"/>
        </w:rPr>
      </w:pPr>
      <w:r w:rsidRPr="0071424E">
        <w:rPr>
          <w:rFonts w:ascii="Arial" w:hAnsi="Arial" w:cs="Arial"/>
          <w:noProof/>
          <w:sz w:val="20"/>
          <w:szCs w:val="24"/>
          <w:lang w:val="en-US"/>
        </w:rPr>
        <w:t xml:space="preserve">(5) </w:t>
      </w:r>
      <w:r w:rsidRPr="0071424E">
        <w:rPr>
          <w:rFonts w:ascii="Arial" w:hAnsi="Arial" w:cs="Arial"/>
          <w:noProof/>
          <w:sz w:val="20"/>
          <w:szCs w:val="24"/>
          <w:lang w:val="en-US"/>
        </w:rPr>
        <w:tab/>
        <w:t xml:space="preserve">Prado, R.; Erdocia, X.; Labidi, J. </w:t>
      </w:r>
      <w:r w:rsidRPr="0071424E">
        <w:rPr>
          <w:rFonts w:ascii="Arial" w:hAnsi="Arial" w:cs="Arial"/>
          <w:i/>
          <w:iCs/>
          <w:noProof/>
          <w:sz w:val="20"/>
          <w:szCs w:val="24"/>
          <w:lang w:val="en-US"/>
        </w:rPr>
        <w:t>J. Clean. Prod.</w:t>
      </w:r>
      <w:r w:rsidRPr="0071424E">
        <w:rPr>
          <w:rFonts w:ascii="Arial" w:hAnsi="Arial" w:cs="Arial"/>
          <w:noProof/>
          <w:sz w:val="20"/>
          <w:szCs w:val="24"/>
          <w:lang w:val="en-US"/>
        </w:rPr>
        <w:t xml:space="preserve"> </w:t>
      </w:r>
      <w:r w:rsidRPr="0071424E">
        <w:rPr>
          <w:rFonts w:ascii="Arial" w:hAnsi="Arial" w:cs="Arial"/>
          <w:b/>
          <w:bCs/>
          <w:noProof/>
          <w:sz w:val="20"/>
          <w:szCs w:val="24"/>
          <w:lang w:val="en-US"/>
        </w:rPr>
        <w:t>2016</w:t>
      </w:r>
      <w:r w:rsidRPr="0071424E">
        <w:rPr>
          <w:rFonts w:ascii="Arial" w:hAnsi="Arial" w:cs="Arial"/>
          <w:noProof/>
          <w:sz w:val="20"/>
          <w:szCs w:val="24"/>
          <w:lang w:val="en-US"/>
        </w:rPr>
        <w:t xml:space="preserve">, </w:t>
      </w:r>
      <w:r w:rsidRPr="0071424E">
        <w:rPr>
          <w:rFonts w:ascii="Arial" w:hAnsi="Arial" w:cs="Arial"/>
          <w:i/>
          <w:iCs/>
          <w:noProof/>
          <w:sz w:val="20"/>
          <w:szCs w:val="24"/>
          <w:lang w:val="en-US"/>
        </w:rPr>
        <w:t>111</w:t>
      </w:r>
      <w:r w:rsidRPr="0071424E">
        <w:rPr>
          <w:rFonts w:ascii="Arial" w:hAnsi="Arial" w:cs="Arial"/>
          <w:noProof/>
          <w:sz w:val="20"/>
          <w:szCs w:val="24"/>
          <w:lang w:val="en-US"/>
        </w:rPr>
        <w:t>, 125–132.</w:t>
      </w:r>
    </w:p>
    <w:p w:rsidR="009939DC" w:rsidRPr="0071424E" w:rsidRDefault="009939DC" w:rsidP="009939DC">
      <w:pPr>
        <w:widowControl w:val="0"/>
        <w:autoSpaceDE w:val="0"/>
        <w:autoSpaceDN w:val="0"/>
        <w:adjustRightInd w:val="0"/>
        <w:spacing w:line="240" w:lineRule="auto"/>
        <w:ind w:left="640" w:hanging="640"/>
        <w:rPr>
          <w:rFonts w:ascii="Arial" w:hAnsi="Arial" w:cs="Arial"/>
          <w:noProof/>
          <w:sz w:val="20"/>
          <w:szCs w:val="24"/>
          <w:lang w:val="en-US"/>
        </w:rPr>
      </w:pPr>
      <w:r w:rsidRPr="0071424E">
        <w:rPr>
          <w:rFonts w:ascii="Arial" w:hAnsi="Arial" w:cs="Arial"/>
          <w:noProof/>
          <w:sz w:val="20"/>
          <w:szCs w:val="24"/>
          <w:lang w:val="en-US"/>
        </w:rPr>
        <w:t xml:space="preserve">(6) </w:t>
      </w:r>
      <w:r w:rsidRPr="0071424E">
        <w:rPr>
          <w:rFonts w:ascii="Arial" w:hAnsi="Arial" w:cs="Arial"/>
          <w:noProof/>
          <w:sz w:val="20"/>
          <w:szCs w:val="24"/>
          <w:lang w:val="en-US"/>
        </w:rPr>
        <w:tab/>
        <w:t xml:space="preserve">Rinaldi, R.; Jastrzebski, R.; Clough, M. T.; Ralph, J.; Kennema, M.; Bruijnincx, P. C. A.; Weckhuysen, B. M. </w:t>
      </w:r>
      <w:r w:rsidRPr="0071424E">
        <w:rPr>
          <w:rFonts w:ascii="Arial" w:hAnsi="Arial" w:cs="Arial"/>
          <w:i/>
          <w:iCs/>
          <w:noProof/>
          <w:sz w:val="20"/>
          <w:szCs w:val="24"/>
          <w:lang w:val="en-US"/>
        </w:rPr>
        <w:t>Angew. Chemie Int. Ed.</w:t>
      </w:r>
      <w:r w:rsidRPr="0071424E">
        <w:rPr>
          <w:rFonts w:ascii="Arial" w:hAnsi="Arial" w:cs="Arial"/>
          <w:noProof/>
          <w:sz w:val="20"/>
          <w:szCs w:val="24"/>
          <w:lang w:val="en-US"/>
        </w:rPr>
        <w:t xml:space="preserve"> </w:t>
      </w:r>
      <w:r w:rsidRPr="0071424E">
        <w:rPr>
          <w:rFonts w:ascii="Arial" w:hAnsi="Arial" w:cs="Arial"/>
          <w:b/>
          <w:bCs/>
          <w:noProof/>
          <w:sz w:val="20"/>
          <w:szCs w:val="24"/>
          <w:lang w:val="en-US"/>
        </w:rPr>
        <w:t>2016</w:t>
      </w:r>
      <w:r w:rsidRPr="0071424E">
        <w:rPr>
          <w:rFonts w:ascii="Arial" w:hAnsi="Arial" w:cs="Arial"/>
          <w:noProof/>
          <w:sz w:val="20"/>
          <w:szCs w:val="24"/>
          <w:lang w:val="en-US"/>
        </w:rPr>
        <w:t xml:space="preserve">, </w:t>
      </w:r>
      <w:r w:rsidRPr="0071424E">
        <w:rPr>
          <w:rFonts w:ascii="Arial" w:hAnsi="Arial" w:cs="Arial"/>
          <w:i/>
          <w:iCs/>
          <w:noProof/>
          <w:sz w:val="20"/>
          <w:szCs w:val="24"/>
          <w:lang w:val="en-US"/>
        </w:rPr>
        <w:t>55</w:t>
      </w:r>
      <w:r w:rsidRPr="0071424E">
        <w:rPr>
          <w:rFonts w:ascii="Arial" w:hAnsi="Arial" w:cs="Arial"/>
          <w:noProof/>
          <w:sz w:val="20"/>
          <w:szCs w:val="24"/>
          <w:lang w:val="en-US"/>
        </w:rPr>
        <w:t xml:space="preserve"> (29), 8164–8215.</w:t>
      </w:r>
    </w:p>
    <w:p w:rsidR="009939DC" w:rsidRPr="009939DC" w:rsidRDefault="009939DC" w:rsidP="009939DC">
      <w:pPr>
        <w:widowControl w:val="0"/>
        <w:autoSpaceDE w:val="0"/>
        <w:autoSpaceDN w:val="0"/>
        <w:adjustRightInd w:val="0"/>
        <w:spacing w:line="240" w:lineRule="auto"/>
        <w:ind w:left="640" w:hanging="640"/>
        <w:rPr>
          <w:rFonts w:ascii="Arial" w:hAnsi="Arial" w:cs="Arial"/>
          <w:noProof/>
          <w:sz w:val="20"/>
          <w:szCs w:val="24"/>
        </w:rPr>
      </w:pPr>
      <w:r w:rsidRPr="0071424E">
        <w:rPr>
          <w:rFonts w:ascii="Arial" w:hAnsi="Arial" w:cs="Arial"/>
          <w:noProof/>
          <w:sz w:val="20"/>
          <w:szCs w:val="24"/>
          <w:lang w:val="en-US"/>
        </w:rPr>
        <w:t xml:space="preserve">(7) </w:t>
      </w:r>
      <w:r w:rsidRPr="0071424E">
        <w:rPr>
          <w:rFonts w:ascii="Arial" w:hAnsi="Arial" w:cs="Arial"/>
          <w:noProof/>
          <w:sz w:val="20"/>
          <w:szCs w:val="24"/>
          <w:lang w:val="en-US"/>
        </w:rPr>
        <w:tab/>
        <w:t xml:space="preserve">Socha, A. M.; Parthasarathi, R.; Shi, J.; Pattathil, S.; Whyte, D.; Bergeron, M.; George, A.; Tran, K.; Stavila, V.; Venkatachalam, S.; Hahn, M. G.; Simmons, B. </w:t>
      </w:r>
      <w:r w:rsidRPr="00616D97">
        <w:rPr>
          <w:rFonts w:ascii="Arial" w:hAnsi="Arial" w:cs="Arial"/>
          <w:noProof/>
          <w:sz w:val="20"/>
          <w:szCs w:val="24"/>
          <w:highlight w:val="yellow"/>
          <w:lang w:val="en-US"/>
        </w:rPr>
        <w:t>a</w:t>
      </w:r>
      <w:r w:rsidRPr="0071424E">
        <w:rPr>
          <w:rFonts w:ascii="Arial" w:hAnsi="Arial" w:cs="Arial"/>
          <w:noProof/>
          <w:sz w:val="20"/>
          <w:szCs w:val="24"/>
          <w:lang w:val="en-US"/>
        </w:rPr>
        <w:t xml:space="preserve">; Singh, S. </w:t>
      </w:r>
      <w:r w:rsidRPr="0071424E">
        <w:rPr>
          <w:rFonts w:ascii="Arial" w:hAnsi="Arial" w:cs="Arial"/>
          <w:i/>
          <w:iCs/>
          <w:noProof/>
          <w:sz w:val="20"/>
          <w:szCs w:val="24"/>
          <w:lang w:val="en-US"/>
        </w:rPr>
        <w:t xml:space="preserve">Proc. </w:t>
      </w:r>
      <w:r w:rsidRPr="009939DC">
        <w:rPr>
          <w:rFonts w:ascii="Arial" w:hAnsi="Arial" w:cs="Arial"/>
          <w:i/>
          <w:iCs/>
          <w:noProof/>
          <w:sz w:val="20"/>
          <w:szCs w:val="24"/>
        </w:rPr>
        <w:t>Natl. Acad. Sci.</w:t>
      </w:r>
      <w:r w:rsidRPr="009939DC">
        <w:rPr>
          <w:rFonts w:ascii="Arial" w:hAnsi="Arial" w:cs="Arial"/>
          <w:noProof/>
          <w:sz w:val="20"/>
          <w:szCs w:val="24"/>
        </w:rPr>
        <w:t xml:space="preserve"> </w:t>
      </w:r>
      <w:r w:rsidRPr="009939DC">
        <w:rPr>
          <w:rFonts w:ascii="Arial" w:hAnsi="Arial" w:cs="Arial"/>
          <w:b/>
          <w:bCs/>
          <w:noProof/>
          <w:sz w:val="20"/>
          <w:szCs w:val="24"/>
        </w:rPr>
        <w:t>2014</w:t>
      </w:r>
      <w:r w:rsidRPr="009939DC">
        <w:rPr>
          <w:rFonts w:ascii="Arial" w:hAnsi="Arial" w:cs="Arial"/>
          <w:noProof/>
          <w:sz w:val="20"/>
          <w:szCs w:val="24"/>
        </w:rPr>
        <w:t xml:space="preserve">, </w:t>
      </w:r>
      <w:r w:rsidRPr="009939DC">
        <w:rPr>
          <w:rFonts w:ascii="Arial" w:hAnsi="Arial" w:cs="Arial"/>
          <w:i/>
          <w:iCs/>
          <w:noProof/>
          <w:sz w:val="20"/>
          <w:szCs w:val="24"/>
        </w:rPr>
        <w:t>111</w:t>
      </w:r>
      <w:r w:rsidRPr="009939DC">
        <w:rPr>
          <w:rFonts w:ascii="Arial" w:hAnsi="Arial" w:cs="Arial"/>
          <w:noProof/>
          <w:sz w:val="20"/>
          <w:szCs w:val="24"/>
        </w:rPr>
        <w:t xml:space="preserve"> (35), E3587–E3595.</w:t>
      </w:r>
    </w:p>
    <w:p w:rsidR="009939DC" w:rsidRPr="009939DC" w:rsidRDefault="009939DC" w:rsidP="009939DC">
      <w:pPr>
        <w:widowControl w:val="0"/>
        <w:autoSpaceDE w:val="0"/>
        <w:autoSpaceDN w:val="0"/>
        <w:adjustRightInd w:val="0"/>
        <w:spacing w:line="240" w:lineRule="auto"/>
        <w:ind w:left="640" w:hanging="640"/>
        <w:rPr>
          <w:rFonts w:ascii="Arial" w:hAnsi="Arial" w:cs="Arial"/>
          <w:noProof/>
          <w:sz w:val="20"/>
          <w:szCs w:val="24"/>
        </w:rPr>
      </w:pPr>
      <w:r w:rsidRPr="009939DC">
        <w:rPr>
          <w:rFonts w:ascii="Arial" w:hAnsi="Arial" w:cs="Arial"/>
          <w:noProof/>
          <w:sz w:val="20"/>
          <w:szCs w:val="24"/>
        </w:rPr>
        <w:t xml:space="preserve">(8) </w:t>
      </w:r>
      <w:r w:rsidRPr="009939DC">
        <w:rPr>
          <w:rFonts w:ascii="Arial" w:hAnsi="Arial" w:cs="Arial"/>
          <w:noProof/>
          <w:sz w:val="20"/>
          <w:szCs w:val="24"/>
        </w:rPr>
        <w:tab/>
        <w:t xml:space="preserve">Zhu, S.; Wu, Y.; Chen, Q.; Yu, Z.; Wang, C.; Jin, S.; Ding, Y.; Wu, G. </w:t>
      </w:r>
      <w:r w:rsidRPr="009939DC">
        <w:rPr>
          <w:rFonts w:ascii="Arial" w:hAnsi="Arial" w:cs="Arial"/>
          <w:i/>
          <w:iCs/>
          <w:noProof/>
          <w:sz w:val="20"/>
          <w:szCs w:val="24"/>
        </w:rPr>
        <w:t>Green Chem.</w:t>
      </w:r>
      <w:r w:rsidRPr="009939DC">
        <w:rPr>
          <w:rFonts w:ascii="Arial" w:hAnsi="Arial" w:cs="Arial"/>
          <w:noProof/>
          <w:sz w:val="20"/>
          <w:szCs w:val="24"/>
        </w:rPr>
        <w:t xml:space="preserve"> </w:t>
      </w:r>
      <w:r w:rsidRPr="009939DC">
        <w:rPr>
          <w:rFonts w:ascii="Arial" w:hAnsi="Arial" w:cs="Arial"/>
          <w:b/>
          <w:bCs/>
          <w:noProof/>
          <w:sz w:val="20"/>
          <w:szCs w:val="24"/>
        </w:rPr>
        <w:t>2006</w:t>
      </w:r>
      <w:r w:rsidRPr="009939DC">
        <w:rPr>
          <w:rFonts w:ascii="Arial" w:hAnsi="Arial" w:cs="Arial"/>
          <w:noProof/>
          <w:sz w:val="20"/>
          <w:szCs w:val="24"/>
        </w:rPr>
        <w:t xml:space="preserve">, </w:t>
      </w:r>
      <w:r w:rsidRPr="009939DC">
        <w:rPr>
          <w:rFonts w:ascii="Arial" w:hAnsi="Arial" w:cs="Arial"/>
          <w:i/>
          <w:iCs/>
          <w:noProof/>
          <w:sz w:val="20"/>
          <w:szCs w:val="24"/>
        </w:rPr>
        <w:t>8</w:t>
      </w:r>
      <w:r w:rsidRPr="009939DC">
        <w:rPr>
          <w:rFonts w:ascii="Arial" w:hAnsi="Arial" w:cs="Arial"/>
          <w:noProof/>
          <w:sz w:val="20"/>
          <w:szCs w:val="24"/>
        </w:rPr>
        <w:t xml:space="preserve"> (4), 325.</w:t>
      </w:r>
    </w:p>
    <w:p w:rsidR="009939DC" w:rsidRPr="009939DC" w:rsidRDefault="009939DC" w:rsidP="009939DC">
      <w:pPr>
        <w:widowControl w:val="0"/>
        <w:autoSpaceDE w:val="0"/>
        <w:autoSpaceDN w:val="0"/>
        <w:adjustRightInd w:val="0"/>
        <w:spacing w:line="240" w:lineRule="auto"/>
        <w:ind w:left="640" w:hanging="640"/>
        <w:rPr>
          <w:rFonts w:ascii="Arial" w:hAnsi="Arial" w:cs="Arial"/>
          <w:noProof/>
          <w:sz w:val="20"/>
          <w:szCs w:val="24"/>
        </w:rPr>
      </w:pPr>
      <w:r w:rsidRPr="009939DC">
        <w:rPr>
          <w:rFonts w:ascii="Arial" w:hAnsi="Arial" w:cs="Arial"/>
          <w:noProof/>
          <w:sz w:val="20"/>
          <w:szCs w:val="24"/>
        </w:rPr>
        <w:t xml:space="preserve">(9) </w:t>
      </w:r>
      <w:r w:rsidRPr="009939DC">
        <w:rPr>
          <w:rFonts w:ascii="Arial" w:hAnsi="Arial" w:cs="Arial"/>
          <w:noProof/>
          <w:sz w:val="20"/>
          <w:szCs w:val="24"/>
        </w:rPr>
        <w:tab/>
        <w:t xml:space="preserve">Cao, Y.; Wu, J.; Zhang, J.; Li, H.; Zhang, Y.; He, J. </w:t>
      </w:r>
      <w:r w:rsidRPr="009939DC">
        <w:rPr>
          <w:rFonts w:ascii="Arial" w:hAnsi="Arial" w:cs="Arial"/>
          <w:i/>
          <w:iCs/>
          <w:noProof/>
          <w:sz w:val="20"/>
          <w:szCs w:val="24"/>
        </w:rPr>
        <w:t>Chem. Eng. J.</w:t>
      </w:r>
      <w:r w:rsidRPr="009939DC">
        <w:rPr>
          <w:rFonts w:ascii="Arial" w:hAnsi="Arial" w:cs="Arial"/>
          <w:noProof/>
          <w:sz w:val="20"/>
          <w:szCs w:val="24"/>
        </w:rPr>
        <w:t xml:space="preserve"> </w:t>
      </w:r>
      <w:r w:rsidRPr="009939DC">
        <w:rPr>
          <w:rFonts w:ascii="Arial" w:hAnsi="Arial" w:cs="Arial"/>
          <w:b/>
          <w:bCs/>
          <w:noProof/>
          <w:sz w:val="20"/>
          <w:szCs w:val="24"/>
        </w:rPr>
        <w:t>2009</w:t>
      </w:r>
      <w:r w:rsidRPr="009939DC">
        <w:rPr>
          <w:rFonts w:ascii="Arial" w:hAnsi="Arial" w:cs="Arial"/>
          <w:noProof/>
          <w:sz w:val="20"/>
          <w:szCs w:val="24"/>
        </w:rPr>
        <w:t xml:space="preserve">, </w:t>
      </w:r>
      <w:r w:rsidRPr="009939DC">
        <w:rPr>
          <w:rFonts w:ascii="Arial" w:hAnsi="Arial" w:cs="Arial"/>
          <w:i/>
          <w:iCs/>
          <w:noProof/>
          <w:sz w:val="20"/>
          <w:szCs w:val="24"/>
        </w:rPr>
        <w:t>147</w:t>
      </w:r>
      <w:r w:rsidRPr="009939DC">
        <w:rPr>
          <w:rFonts w:ascii="Arial" w:hAnsi="Arial" w:cs="Arial"/>
          <w:noProof/>
          <w:sz w:val="20"/>
          <w:szCs w:val="24"/>
        </w:rPr>
        <w:t xml:space="preserve"> (1), 13–21.</w:t>
      </w:r>
    </w:p>
    <w:p w:rsidR="009939DC" w:rsidRPr="0071424E" w:rsidRDefault="009939DC" w:rsidP="009939DC">
      <w:pPr>
        <w:widowControl w:val="0"/>
        <w:autoSpaceDE w:val="0"/>
        <w:autoSpaceDN w:val="0"/>
        <w:adjustRightInd w:val="0"/>
        <w:spacing w:line="240" w:lineRule="auto"/>
        <w:ind w:left="640" w:hanging="640"/>
        <w:rPr>
          <w:rFonts w:ascii="Arial" w:hAnsi="Arial" w:cs="Arial"/>
          <w:noProof/>
          <w:sz w:val="20"/>
          <w:szCs w:val="24"/>
          <w:lang w:val="en-US"/>
        </w:rPr>
      </w:pPr>
      <w:r w:rsidRPr="009939DC">
        <w:rPr>
          <w:rFonts w:ascii="Arial" w:hAnsi="Arial" w:cs="Arial"/>
          <w:noProof/>
          <w:sz w:val="20"/>
          <w:szCs w:val="24"/>
        </w:rPr>
        <w:t xml:space="preserve">(10) </w:t>
      </w:r>
      <w:r w:rsidRPr="009939DC">
        <w:rPr>
          <w:rFonts w:ascii="Arial" w:hAnsi="Arial" w:cs="Arial"/>
          <w:noProof/>
          <w:sz w:val="20"/>
          <w:szCs w:val="24"/>
        </w:rPr>
        <w:tab/>
        <w:t xml:space="preserve">Sixta, H.; Michud, A.; Hauru, L.; Assadi, S.; Ma, Y.; King, A. W. T.; Kilpeläinen, I.; Hummel, M. </w:t>
      </w:r>
      <w:r w:rsidRPr="009939DC">
        <w:rPr>
          <w:rFonts w:ascii="Arial" w:hAnsi="Arial" w:cs="Arial"/>
          <w:i/>
          <w:iCs/>
          <w:noProof/>
          <w:sz w:val="20"/>
          <w:szCs w:val="24"/>
        </w:rPr>
        <w:t xml:space="preserve">Nord. </w:t>
      </w:r>
      <w:r w:rsidRPr="0071424E">
        <w:rPr>
          <w:rFonts w:ascii="Arial" w:hAnsi="Arial" w:cs="Arial"/>
          <w:i/>
          <w:iCs/>
          <w:noProof/>
          <w:sz w:val="20"/>
          <w:szCs w:val="24"/>
          <w:lang w:val="en-US"/>
        </w:rPr>
        <w:t>Pulp Pap. Res. J.</w:t>
      </w:r>
      <w:r w:rsidRPr="0071424E">
        <w:rPr>
          <w:rFonts w:ascii="Arial" w:hAnsi="Arial" w:cs="Arial"/>
          <w:noProof/>
          <w:sz w:val="20"/>
          <w:szCs w:val="24"/>
          <w:lang w:val="en-US"/>
        </w:rPr>
        <w:t xml:space="preserve"> </w:t>
      </w:r>
      <w:r w:rsidRPr="0071424E">
        <w:rPr>
          <w:rFonts w:ascii="Arial" w:hAnsi="Arial" w:cs="Arial"/>
          <w:b/>
          <w:bCs/>
          <w:noProof/>
          <w:sz w:val="20"/>
          <w:szCs w:val="24"/>
          <w:lang w:val="en-US"/>
        </w:rPr>
        <w:t>2015</w:t>
      </w:r>
      <w:r w:rsidRPr="0071424E">
        <w:rPr>
          <w:rFonts w:ascii="Arial" w:hAnsi="Arial" w:cs="Arial"/>
          <w:noProof/>
          <w:sz w:val="20"/>
          <w:szCs w:val="24"/>
          <w:lang w:val="en-US"/>
        </w:rPr>
        <w:t xml:space="preserve">, </w:t>
      </w:r>
      <w:r w:rsidRPr="0071424E">
        <w:rPr>
          <w:rFonts w:ascii="Arial" w:hAnsi="Arial" w:cs="Arial"/>
          <w:i/>
          <w:iCs/>
          <w:noProof/>
          <w:sz w:val="20"/>
          <w:szCs w:val="24"/>
          <w:lang w:val="en-US"/>
        </w:rPr>
        <w:t>30</w:t>
      </w:r>
      <w:r w:rsidRPr="0071424E">
        <w:rPr>
          <w:rFonts w:ascii="Arial" w:hAnsi="Arial" w:cs="Arial"/>
          <w:noProof/>
          <w:sz w:val="20"/>
          <w:szCs w:val="24"/>
          <w:lang w:val="en-US"/>
        </w:rPr>
        <w:t xml:space="preserve"> (1), 043–057.</w:t>
      </w:r>
    </w:p>
    <w:p w:rsidR="009939DC" w:rsidRPr="0071424E" w:rsidRDefault="009939DC" w:rsidP="009939DC">
      <w:pPr>
        <w:widowControl w:val="0"/>
        <w:autoSpaceDE w:val="0"/>
        <w:autoSpaceDN w:val="0"/>
        <w:adjustRightInd w:val="0"/>
        <w:spacing w:line="240" w:lineRule="auto"/>
        <w:ind w:left="640" w:hanging="640"/>
        <w:rPr>
          <w:rFonts w:ascii="Arial" w:hAnsi="Arial" w:cs="Arial"/>
          <w:noProof/>
          <w:sz w:val="20"/>
          <w:szCs w:val="24"/>
          <w:lang w:val="en-US"/>
        </w:rPr>
      </w:pPr>
      <w:r w:rsidRPr="0071424E">
        <w:rPr>
          <w:rFonts w:ascii="Arial" w:hAnsi="Arial" w:cs="Arial"/>
          <w:noProof/>
          <w:sz w:val="20"/>
          <w:szCs w:val="24"/>
          <w:lang w:val="en-US"/>
        </w:rPr>
        <w:t xml:space="preserve">(11) </w:t>
      </w:r>
      <w:r w:rsidRPr="0071424E">
        <w:rPr>
          <w:rFonts w:ascii="Arial" w:hAnsi="Arial" w:cs="Arial"/>
          <w:noProof/>
          <w:sz w:val="20"/>
          <w:szCs w:val="24"/>
          <w:lang w:val="en-US"/>
        </w:rPr>
        <w:tab/>
        <w:t xml:space="preserve">Simmons, T. J.; Lee, S. H.; Miao, J.; Miyauchi, M.; Park, T.-J.; Bale, S. S.; Pangule, R.; Bult, J.; Martin, J. G.; Dordick, J. S.; Linhardt, R. J. </w:t>
      </w:r>
      <w:r w:rsidRPr="0071424E">
        <w:rPr>
          <w:rFonts w:ascii="Arial" w:hAnsi="Arial" w:cs="Arial"/>
          <w:i/>
          <w:iCs/>
          <w:noProof/>
          <w:sz w:val="20"/>
          <w:szCs w:val="24"/>
          <w:lang w:val="en-US"/>
        </w:rPr>
        <w:t>Wood Sci. Technol.</w:t>
      </w:r>
      <w:r w:rsidRPr="0071424E">
        <w:rPr>
          <w:rFonts w:ascii="Arial" w:hAnsi="Arial" w:cs="Arial"/>
          <w:noProof/>
          <w:sz w:val="20"/>
          <w:szCs w:val="24"/>
          <w:lang w:val="en-US"/>
        </w:rPr>
        <w:t xml:space="preserve"> </w:t>
      </w:r>
      <w:r w:rsidRPr="0071424E">
        <w:rPr>
          <w:rFonts w:ascii="Arial" w:hAnsi="Arial" w:cs="Arial"/>
          <w:b/>
          <w:bCs/>
          <w:noProof/>
          <w:sz w:val="20"/>
          <w:szCs w:val="24"/>
          <w:lang w:val="en-US"/>
        </w:rPr>
        <w:t>2011</w:t>
      </w:r>
      <w:r w:rsidRPr="0071424E">
        <w:rPr>
          <w:rFonts w:ascii="Arial" w:hAnsi="Arial" w:cs="Arial"/>
          <w:noProof/>
          <w:sz w:val="20"/>
          <w:szCs w:val="24"/>
          <w:lang w:val="en-US"/>
        </w:rPr>
        <w:t xml:space="preserve">, </w:t>
      </w:r>
      <w:r w:rsidRPr="0071424E">
        <w:rPr>
          <w:rFonts w:ascii="Arial" w:hAnsi="Arial" w:cs="Arial"/>
          <w:i/>
          <w:iCs/>
          <w:noProof/>
          <w:sz w:val="20"/>
          <w:szCs w:val="24"/>
          <w:lang w:val="en-US"/>
        </w:rPr>
        <w:t>45</w:t>
      </w:r>
      <w:r w:rsidRPr="0071424E">
        <w:rPr>
          <w:rFonts w:ascii="Arial" w:hAnsi="Arial" w:cs="Arial"/>
          <w:noProof/>
          <w:sz w:val="20"/>
          <w:szCs w:val="24"/>
          <w:lang w:val="en-US"/>
        </w:rPr>
        <w:t xml:space="preserve"> (4), 719–733.</w:t>
      </w:r>
    </w:p>
    <w:p w:rsidR="009939DC" w:rsidRPr="0071424E" w:rsidRDefault="009939DC" w:rsidP="009939DC">
      <w:pPr>
        <w:widowControl w:val="0"/>
        <w:autoSpaceDE w:val="0"/>
        <w:autoSpaceDN w:val="0"/>
        <w:adjustRightInd w:val="0"/>
        <w:spacing w:line="240" w:lineRule="auto"/>
        <w:ind w:left="640" w:hanging="640"/>
        <w:rPr>
          <w:rFonts w:ascii="Arial" w:hAnsi="Arial" w:cs="Arial"/>
          <w:noProof/>
          <w:sz w:val="20"/>
          <w:szCs w:val="24"/>
          <w:lang w:val="en-US"/>
        </w:rPr>
      </w:pPr>
      <w:r w:rsidRPr="0071424E">
        <w:rPr>
          <w:rFonts w:ascii="Arial" w:hAnsi="Arial" w:cs="Arial"/>
          <w:noProof/>
          <w:sz w:val="20"/>
          <w:szCs w:val="24"/>
          <w:lang w:val="en-US"/>
        </w:rPr>
        <w:t xml:space="preserve">(12) </w:t>
      </w:r>
      <w:r w:rsidRPr="0071424E">
        <w:rPr>
          <w:rFonts w:ascii="Arial" w:hAnsi="Arial" w:cs="Arial"/>
          <w:noProof/>
          <w:sz w:val="20"/>
          <w:szCs w:val="24"/>
          <w:lang w:val="en-US"/>
        </w:rPr>
        <w:tab/>
        <w:t xml:space="preserve">Upton, B. M.; Kasko, A. M. </w:t>
      </w:r>
      <w:r w:rsidRPr="0071424E">
        <w:rPr>
          <w:rFonts w:ascii="Arial" w:hAnsi="Arial" w:cs="Arial"/>
          <w:i/>
          <w:iCs/>
          <w:noProof/>
          <w:sz w:val="20"/>
          <w:szCs w:val="24"/>
          <w:lang w:val="en-US"/>
        </w:rPr>
        <w:t>Chem. Rev.</w:t>
      </w:r>
      <w:r w:rsidRPr="0071424E">
        <w:rPr>
          <w:rFonts w:ascii="Arial" w:hAnsi="Arial" w:cs="Arial"/>
          <w:noProof/>
          <w:sz w:val="20"/>
          <w:szCs w:val="24"/>
          <w:lang w:val="en-US"/>
        </w:rPr>
        <w:t xml:space="preserve"> </w:t>
      </w:r>
      <w:r w:rsidRPr="0071424E">
        <w:rPr>
          <w:rFonts w:ascii="Arial" w:hAnsi="Arial" w:cs="Arial"/>
          <w:b/>
          <w:bCs/>
          <w:noProof/>
          <w:sz w:val="20"/>
          <w:szCs w:val="24"/>
          <w:lang w:val="en-US"/>
        </w:rPr>
        <w:t>2016</w:t>
      </w:r>
      <w:r w:rsidRPr="0071424E">
        <w:rPr>
          <w:rFonts w:ascii="Arial" w:hAnsi="Arial" w:cs="Arial"/>
          <w:noProof/>
          <w:sz w:val="20"/>
          <w:szCs w:val="24"/>
          <w:lang w:val="en-US"/>
        </w:rPr>
        <w:t xml:space="preserve">, </w:t>
      </w:r>
      <w:r w:rsidRPr="0071424E">
        <w:rPr>
          <w:rFonts w:ascii="Arial" w:hAnsi="Arial" w:cs="Arial"/>
          <w:i/>
          <w:iCs/>
          <w:noProof/>
          <w:sz w:val="20"/>
          <w:szCs w:val="24"/>
          <w:lang w:val="en-US"/>
        </w:rPr>
        <w:t>116</w:t>
      </w:r>
      <w:r w:rsidRPr="0071424E">
        <w:rPr>
          <w:rFonts w:ascii="Arial" w:hAnsi="Arial" w:cs="Arial"/>
          <w:noProof/>
          <w:sz w:val="20"/>
          <w:szCs w:val="24"/>
          <w:lang w:val="en-US"/>
        </w:rPr>
        <w:t xml:space="preserve"> (4), 2275–2306.</w:t>
      </w:r>
    </w:p>
    <w:p w:rsidR="009939DC" w:rsidRPr="009939DC" w:rsidRDefault="009939DC" w:rsidP="009939DC">
      <w:pPr>
        <w:widowControl w:val="0"/>
        <w:autoSpaceDE w:val="0"/>
        <w:autoSpaceDN w:val="0"/>
        <w:adjustRightInd w:val="0"/>
        <w:spacing w:line="240" w:lineRule="auto"/>
        <w:ind w:left="640" w:hanging="640"/>
        <w:rPr>
          <w:rFonts w:ascii="Arial" w:hAnsi="Arial" w:cs="Arial"/>
          <w:noProof/>
          <w:sz w:val="20"/>
          <w:szCs w:val="24"/>
        </w:rPr>
      </w:pPr>
      <w:r w:rsidRPr="0071424E">
        <w:rPr>
          <w:rFonts w:ascii="Arial" w:hAnsi="Arial" w:cs="Arial"/>
          <w:noProof/>
          <w:sz w:val="20"/>
          <w:szCs w:val="24"/>
          <w:lang w:val="en-US"/>
        </w:rPr>
        <w:t xml:space="preserve">(13) </w:t>
      </w:r>
      <w:r w:rsidRPr="0071424E">
        <w:rPr>
          <w:rFonts w:ascii="Arial" w:hAnsi="Arial" w:cs="Arial"/>
          <w:noProof/>
          <w:sz w:val="20"/>
          <w:szCs w:val="24"/>
          <w:lang w:val="en-US"/>
        </w:rPr>
        <w:tab/>
        <w:t xml:space="preserve">Sun, J.; Wang, C.; Yeo, J. C. C.; Yuan, D.; Li, H.; Stubbs, L. P.; He, C. </w:t>
      </w:r>
      <w:r w:rsidRPr="0071424E">
        <w:rPr>
          <w:rFonts w:ascii="Arial" w:hAnsi="Arial" w:cs="Arial"/>
          <w:i/>
          <w:iCs/>
          <w:noProof/>
          <w:sz w:val="20"/>
          <w:szCs w:val="24"/>
          <w:lang w:val="en-US"/>
        </w:rPr>
        <w:t xml:space="preserve">Macromol. </w:t>
      </w:r>
      <w:r w:rsidRPr="009939DC">
        <w:rPr>
          <w:rFonts w:ascii="Arial" w:hAnsi="Arial" w:cs="Arial"/>
          <w:i/>
          <w:iCs/>
          <w:noProof/>
          <w:sz w:val="20"/>
          <w:szCs w:val="24"/>
        </w:rPr>
        <w:t>Mater. Eng.</w:t>
      </w:r>
      <w:r w:rsidRPr="009939DC">
        <w:rPr>
          <w:rFonts w:ascii="Arial" w:hAnsi="Arial" w:cs="Arial"/>
          <w:noProof/>
          <w:sz w:val="20"/>
          <w:szCs w:val="24"/>
        </w:rPr>
        <w:t xml:space="preserve"> </w:t>
      </w:r>
      <w:r w:rsidRPr="009939DC">
        <w:rPr>
          <w:rFonts w:ascii="Arial" w:hAnsi="Arial" w:cs="Arial"/>
          <w:b/>
          <w:bCs/>
          <w:noProof/>
          <w:sz w:val="20"/>
          <w:szCs w:val="24"/>
        </w:rPr>
        <w:t>2016</w:t>
      </w:r>
      <w:r w:rsidRPr="009939DC">
        <w:rPr>
          <w:rFonts w:ascii="Arial" w:hAnsi="Arial" w:cs="Arial"/>
          <w:noProof/>
          <w:sz w:val="20"/>
          <w:szCs w:val="24"/>
        </w:rPr>
        <w:t xml:space="preserve">, </w:t>
      </w:r>
      <w:r w:rsidRPr="009939DC">
        <w:rPr>
          <w:rFonts w:ascii="Arial" w:hAnsi="Arial" w:cs="Arial"/>
          <w:i/>
          <w:iCs/>
          <w:noProof/>
          <w:sz w:val="20"/>
          <w:szCs w:val="24"/>
        </w:rPr>
        <w:t>301</w:t>
      </w:r>
      <w:r w:rsidRPr="009939DC">
        <w:rPr>
          <w:rFonts w:ascii="Arial" w:hAnsi="Arial" w:cs="Arial"/>
          <w:noProof/>
          <w:sz w:val="20"/>
          <w:szCs w:val="24"/>
        </w:rPr>
        <w:t xml:space="preserve"> (3), 328–336.</w:t>
      </w:r>
    </w:p>
    <w:p w:rsidR="009939DC" w:rsidRPr="009939DC" w:rsidRDefault="009939DC" w:rsidP="009939DC">
      <w:pPr>
        <w:widowControl w:val="0"/>
        <w:autoSpaceDE w:val="0"/>
        <w:autoSpaceDN w:val="0"/>
        <w:adjustRightInd w:val="0"/>
        <w:spacing w:line="240" w:lineRule="auto"/>
        <w:ind w:left="640" w:hanging="640"/>
        <w:rPr>
          <w:rFonts w:ascii="Arial" w:hAnsi="Arial" w:cs="Arial"/>
          <w:noProof/>
          <w:sz w:val="20"/>
        </w:rPr>
      </w:pPr>
      <w:r w:rsidRPr="009939DC">
        <w:rPr>
          <w:rFonts w:ascii="Arial" w:hAnsi="Arial" w:cs="Arial"/>
          <w:noProof/>
          <w:sz w:val="20"/>
          <w:szCs w:val="24"/>
        </w:rPr>
        <w:t xml:space="preserve">(14) </w:t>
      </w:r>
      <w:r w:rsidRPr="009939DC">
        <w:rPr>
          <w:rFonts w:ascii="Arial" w:hAnsi="Arial" w:cs="Arial"/>
          <w:noProof/>
          <w:sz w:val="20"/>
          <w:szCs w:val="24"/>
        </w:rPr>
        <w:tab/>
        <w:t xml:space="preserve">Wu, R.-L.; Wang, X.-L.; Li, F.; Li, H.-Z.; Wang, Y.-Z. </w:t>
      </w:r>
      <w:r w:rsidRPr="009939DC">
        <w:rPr>
          <w:rFonts w:ascii="Arial" w:hAnsi="Arial" w:cs="Arial"/>
          <w:i/>
          <w:iCs/>
          <w:noProof/>
          <w:sz w:val="20"/>
          <w:szCs w:val="24"/>
        </w:rPr>
        <w:t>Bioresour. Technol.</w:t>
      </w:r>
      <w:r w:rsidRPr="009939DC">
        <w:rPr>
          <w:rFonts w:ascii="Arial" w:hAnsi="Arial" w:cs="Arial"/>
          <w:noProof/>
          <w:sz w:val="20"/>
          <w:szCs w:val="24"/>
        </w:rPr>
        <w:t xml:space="preserve"> </w:t>
      </w:r>
      <w:r w:rsidRPr="009939DC">
        <w:rPr>
          <w:rFonts w:ascii="Arial" w:hAnsi="Arial" w:cs="Arial"/>
          <w:b/>
          <w:bCs/>
          <w:noProof/>
          <w:sz w:val="20"/>
          <w:szCs w:val="24"/>
        </w:rPr>
        <w:t>2009</w:t>
      </w:r>
      <w:r w:rsidRPr="009939DC">
        <w:rPr>
          <w:rFonts w:ascii="Arial" w:hAnsi="Arial" w:cs="Arial"/>
          <w:noProof/>
          <w:sz w:val="20"/>
          <w:szCs w:val="24"/>
        </w:rPr>
        <w:t xml:space="preserve">, </w:t>
      </w:r>
      <w:r w:rsidRPr="009939DC">
        <w:rPr>
          <w:rFonts w:ascii="Arial" w:hAnsi="Arial" w:cs="Arial"/>
          <w:i/>
          <w:iCs/>
          <w:noProof/>
          <w:sz w:val="20"/>
          <w:szCs w:val="24"/>
        </w:rPr>
        <w:t>100</w:t>
      </w:r>
      <w:r w:rsidRPr="009939DC">
        <w:rPr>
          <w:rFonts w:ascii="Arial" w:hAnsi="Arial" w:cs="Arial"/>
          <w:noProof/>
          <w:sz w:val="20"/>
          <w:szCs w:val="24"/>
        </w:rPr>
        <w:t xml:space="preserve"> (9), 2569–2574.</w:t>
      </w:r>
    </w:p>
    <w:p w:rsidR="00EA0133" w:rsidRPr="00FE3554" w:rsidRDefault="00EA0133" w:rsidP="009939DC">
      <w:pPr>
        <w:widowControl w:val="0"/>
        <w:autoSpaceDE w:val="0"/>
        <w:autoSpaceDN w:val="0"/>
        <w:adjustRightInd w:val="0"/>
        <w:spacing w:line="240" w:lineRule="auto"/>
        <w:ind w:left="640" w:hanging="640"/>
        <w:rPr>
          <w:rFonts w:ascii="Arial" w:hAnsi="Arial" w:cs="Arial"/>
          <w:sz w:val="20"/>
          <w:lang w:val="en-US"/>
        </w:rPr>
      </w:pPr>
      <w:r>
        <w:rPr>
          <w:rFonts w:ascii="Arial" w:hAnsi="Arial" w:cs="Arial"/>
          <w:sz w:val="20"/>
          <w:lang w:val="en-US"/>
        </w:rPr>
        <w:fldChar w:fldCharType="end"/>
      </w:r>
    </w:p>
    <w:sectPr w:rsidR="00EA0133" w:rsidRPr="00FE3554" w:rsidSect="007648EE">
      <w:footerReference w:type="default" r:id="rId1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92" w:rsidRDefault="00C85C92" w:rsidP="00FB3B30">
      <w:pPr>
        <w:spacing w:after="0" w:line="240" w:lineRule="auto"/>
      </w:pPr>
      <w:r>
        <w:separator/>
      </w:r>
    </w:p>
  </w:endnote>
  <w:endnote w:type="continuationSeparator" w:id="0">
    <w:p w:rsidR="00C85C92" w:rsidRDefault="00C85C92" w:rsidP="00FB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13" w:rsidRDefault="00242613">
    <w:pPr>
      <w:pStyle w:val="Fuzeile"/>
      <w:jc w:val="center"/>
    </w:pPr>
  </w:p>
  <w:p w:rsidR="00242613" w:rsidRDefault="0024261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635873"/>
      <w:docPartObj>
        <w:docPartGallery w:val="Page Numbers (Bottom of Page)"/>
        <w:docPartUnique/>
      </w:docPartObj>
    </w:sdtPr>
    <w:sdtEndPr/>
    <w:sdtContent>
      <w:p w:rsidR="00242613" w:rsidRDefault="00242613">
        <w:pPr>
          <w:pStyle w:val="Fuzeile"/>
          <w:jc w:val="center"/>
        </w:pPr>
        <w:r>
          <w:t>-S</w:t>
        </w:r>
        <w:r>
          <w:fldChar w:fldCharType="begin"/>
        </w:r>
        <w:r w:rsidRPr="007648EE">
          <w:instrText>PAGE   \* MERGEFORMAT</w:instrText>
        </w:r>
        <w:r>
          <w:fldChar w:fldCharType="separate"/>
        </w:r>
        <w:r w:rsidR="00B1390F">
          <w:rPr>
            <w:noProof/>
          </w:rPr>
          <w:t>16</w:t>
        </w:r>
        <w:r>
          <w:fldChar w:fldCharType="end"/>
        </w:r>
        <w:r>
          <w:t>-</w:t>
        </w:r>
      </w:p>
    </w:sdtContent>
  </w:sdt>
  <w:p w:rsidR="00242613" w:rsidRDefault="0024261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92" w:rsidRDefault="00C85C92" w:rsidP="00FB3B30">
      <w:pPr>
        <w:spacing w:after="0" w:line="240" w:lineRule="auto"/>
      </w:pPr>
      <w:r>
        <w:separator/>
      </w:r>
    </w:p>
  </w:footnote>
  <w:footnote w:type="continuationSeparator" w:id="0">
    <w:p w:rsidR="00C85C92" w:rsidRDefault="00C85C92" w:rsidP="00FB3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55CE"/>
    <w:multiLevelType w:val="hybridMultilevel"/>
    <w:tmpl w:val="4FA83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A3C4976"/>
    <w:multiLevelType w:val="hybridMultilevel"/>
    <w:tmpl w:val="B99E55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B5642FB"/>
    <w:multiLevelType w:val="hybridMultilevel"/>
    <w:tmpl w:val="91781F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29878AE"/>
    <w:multiLevelType w:val="hybridMultilevel"/>
    <w:tmpl w:val="5C860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A991502"/>
    <w:multiLevelType w:val="hybridMultilevel"/>
    <w:tmpl w:val="C8809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f Hempelmann">
    <w15:presenceInfo w15:providerId="Windows Live" w15:userId="a57c8b8544547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68"/>
    <w:rsid w:val="00031D1D"/>
    <w:rsid w:val="0004181F"/>
    <w:rsid w:val="000562E0"/>
    <w:rsid w:val="00067CA5"/>
    <w:rsid w:val="00076B20"/>
    <w:rsid w:val="00080925"/>
    <w:rsid w:val="0009356D"/>
    <w:rsid w:val="000A0454"/>
    <w:rsid w:val="000A4B70"/>
    <w:rsid w:val="00110E92"/>
    <w:rsid w:val="00122333"/>
    <w:rsid w:val="00135CAB"/>
    <w:rsid w:val="00175D96"/>
    <w:rsid w:val="00190D31"/>
    <w:rsid w:val="001B6306"/>
    <w:rsid w:val="001E7150"/>
    <w:rsid w:val="001F5ACA"/>
    <w:rsid w:val="00241E32"/>
    <w:rsid w:val="00242613"/>
    <w:rsid w:val="002754FA"/>
    <w:rsid w:val="002B39BC"/>
    <w:rsid w:val="002C1727"/>
    <w:rsid w:val="002D3720"/>
    <w:rsid w:val="00314223"/>
    <w:rsid w:val="003549A7"/>
    <w:rsid w:val="003754D2"/>
    <w:rsid w:val="003833FE"/>
    <w:rsid w:val="00391C68"/>
    <w:rsid w:val="003932CB"/>
    <w:rsid w:val="003B24F2"/>
    <w:rsid w:val="003D565B"/>
    <w:rsid w:val="003E0811"/>
    <w:rsid w:val="003E512D"/>
    <w:rsid w:val="003F0053"/>
    <w:rsid w:val="00403139"/>
    <w:rsid w:val="00424109"/>
    <w:rsid w:val="004404FB"/>
    <w:rsid w:val="00472ACF"/>
    <w:rsid w:val="004A6273"/>
    <w:rsid w:val="004B0C87"/>
    <w:rsid w:val="004C2282"/>
    <w:rsid w:val="004C70F7"/>
    <w:rsid w:val="00541C24"/>
    <w:rsid w:val="00565977"/>
    <w:rsid w:val="005D2A34"/>
    <w:rsid w:val="005E099F"/>
    <w:rsid w:val="00616D97"/>
    <w:rsid w:val="00630619"/>
    <w:rsid w:val="0063757E"/>
    <w:rsid w:val="006603D1"/>
    <w:rsid w:val="00661102"/>
    <w:rsid w:val="00671A57"/>
    <w:rsid w:val="00674EBA"/>
    <w:rsid w:val="006B2694"/>
    <w:rsid w:val="006C0262"/>
    <w:rsid w:val="0071424E"/>
    <w:rsid w:val="007648EE"/>
    <w:rsid w:val="00765A12"/>
    <w:rsid w:val="00790D1D"/>
    <w:rsid w:val="007E233A"/>
    <w:rsid w:val="007F5E77"/>
    <w:rsid w:val="00831076"/>
    <w:rsid w:val="00834AF8"/>
    <w:rsid w:val="00876128"/>
    <w:rsid w:val="00880438"/>
    <w:rsid w:val="00893B6B"/>
    <w:rsid w:val="00925332"/>
    <w:rsid w:val="00954BA9"/>
    <w:rsid w:val="009878EF"/>
    <w:rsid w:val="009939DC"/>
    <w:rsid w:val="009A3C89"/>
    <w:rsid w:val="009A77B1"/>
    <w:rsid w:val="009C3434"/>
    <w:rsid w:val="009E2890"/>
    <w:rsid w:val="00A124C1"/>
    <w:rsid w:val="00A20E3F"/>
    <w:rsid w:val="00A468BB"/>
    <w:rsid w:val="00A758AE"/>
    <w:rsid w:val="00A81E3C"/>
    <w:rsid w:val="00AE52A5"/>
    <w:rsid w:val="00B078AC"/>
    <w:rsid w:val="00B1390F"/>
    <w:rsid w:val="00B22C3E"/>
    <w:rsid w:val="00B40ED7"/>
    <w:rsid w:val="00B54CD3"/>
    <w:rsid w:val="00B60EDC"/>
    <w:rsid w:val="00B75911"/>
    <w:rsid w:val="00B76F8D"/>
    <w:rsid w:val="00B77EAF"/>
    <w:rsid w:val="00B90669"/>
    <w:rsid w:val="00BA6BFB"/>
    <w:rsid w:val="00BF7BF7"/>
    <w:rsid w:val="00C300FE"/>
    <w:rsid w:val="00C37BC1"/>
    <w:rsid w:val="00C821B7"/>
    <w:rsid w:val="00C85C92"/>
    <w:rsid w:val="00CB47B7"/>
    <w:rsid w:val="00CC5DAD"/>
    <w:rsid w:val="00CD3F49"/>
    <w:rsid w:val="00D038C4"/>
    <w:rsid w:val="00D23435"/>
    <w:rsid w:val="00D305E7"/>
    <w:rsid w:val="00D44892"/>
    <w:rsid w:val="00D63F58"/>
    <w:rsid w:val="00D7564D"/>
    <w:rsid w:val="00D94A4B"/>
    <w:rsid w:val="00DC3050"/>
    <w:rsid w:val="00DD345C"/>
    <w:rsid w:val="00DD36F9"/>
    <w:rsid w:val="00DE76F8"/>
    <w:rsid w:val="00DF1FDA"/>
    <w:rsid w:val="00E32943"/>
    <w:rsid w:val="00E51D11"/>
    <w:rsid w:val="00E81D89"/>
    <w:rsid w:val="00EA0133"/>
    <w:rsid w:val="00ED2FBB"/>
    <w:rsid w:val="00F001B1"/>
    <w:rsid w:val="00F321E3"/>
    <w:rsid w:val="00F4451D"/>
    <w:rsid w:val="00F50267"/>
    <w:rsid w:val="00FA547F"/>
    <w:rsid w:val="00FB1FAD"/>
    <w:rsid w:val="00FB3B30"/>
    <w:rsid w:val="00FD43F0"/>
    <w:rsid w:val="00FE0B91"/>
    <w:rsid w:val="00FE3554"/>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54D2"/>
  </w:style>
  <w:style w:type="paragraph" w:styleId="berschrift1">
    <w:name w:val="heading 1"/>
    <w:basedOn w:val="Standard"/>
    <w:next w:val="Standard"/>
    <w:link w:val="berschrift1Zchn"/>
    <w:uiPriority w:val="9"/>
    <w:qFormat/>
    <w:rsid w:val="0009356D"/>
    <w:pPr>
      <w:keepNext/>
      <w:keepLines/>
      <w:spacing w:after="24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09356D"/>
    <w:pPr>
      <w:keepNext/>
      <w:keepLines/>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7E233A"/>
    <w:pPr>
      <w:keepNext/>
      <w:keepLines/>
      <w:spacing w:after="240"/>
      <w:outlineLvl w:val="2"/>
    </w:pPr>
    <w:rPr>
      <w:rFonts w:eastAsiaTheme="majorEastAsia" w:cstheme="majorBidi"/>
      <w:b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8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B3B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3B30"/>
  </w:style>
  <w:style w:type="paragraph" w:styleId="Fuzeile">
    <w:name w:val="footer"/>
    <w:basedOn w:val="Standard"/>
    <w:link w:val="FuzeileZchn"/>
    <w:uiPriority w:val="99"/>
    <w:unhideWhenUsed/>
    <w:rsid w:val="00FB3B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3B30"/>
  </w:style>
  <w:style w:type="paragraph" w:styleId="Listenabsatz">
    <w:name w:val="List Paragraph"/>
    <w:basedOn w:val="Standard"/>
    <w:uiPriority w:val="34"/>
    <w:qFormat/>
    <w:rsid w:val="00FB3B30"/>
    <w:pPr>
      <w:ind w:left="720"/>
      <w:contextualSpacing/>
    </w:pPr>
  </w:style>
  <w:style w:type="paragraph" w:styleId="Sprechblasentext">
    <w:name w:val="Balloon Text"/>
    <w:basedOn w:val="Standard"/>
    <w:link w:val="SprechblasentextZchn"/>
    <w:uiPriority w:val="99"/>
    <w:semiHidden/>
    <w:unhideWhenUsed/>
    <w:rsid w:val="00FB3B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3B30"/>
    <w:rPr>
      <w:rFonts w:ascii="Tahoma" w:hAnsi="Tahoma" w:cs="Tahoma"/>
      <w:sz w:val="16"/>
      <w:szCs w:val="16"/>
    </w:rPr>
  </w:style>
  <w:style w:type="character" w:styleId="Platzhaltertext">
    <w:name w:val="Placeholder Text"/>
    <w:basedOn w:val="Absatz-Standardschriftart"/>
    <w:uiPriority w:val="99"/>
    <w:semiHidden/>
    <w:rsid w:val="00541C24"/>
    <w:rPr>
      <w:color w:val="808080"/>
    </w:rPr>
  </w:style>
  <w:style w:type="character" w:styleId="Hyperlink">
    <w:name w:val="Hyperlink"/>
    <w:basedOn w:val="Absatz-Standardschriftart"/>
    <w:uiPriority w:val="99"/>
    <w:unhideWhenUsed/>
    <w:rsid w:val="00925332"/>
    <w:rPr>
      <w:color w:val="0000FF"/>
      <w:u w:val="single"/>
    </w:rPr>
  </w:style>
  <w:style w:type="paragraph" w:styleId="Funotentext">
    <w:name w:val="footnote text"/>
    <w:basedOn w:val="Standard"/>
    <w:link w:val="FunotentextZchn"/>
    <w:uiPriority w:val="99"/>
    <w:semiHidden/>
    <w:unhideWhenUsed/>
    <w:rsid w:val="003D565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D565B"/>
    <w:rPr>
      <w:sz w:val="20"/>
      <w:szCs w:val="20"/>
    </w:rPr>
  </w:style>
  <w:style w:type="character" w:styleId="Funotenzeichen">
    <w:name w:val="footnote reference"/>
    <w:basedOn w:val="Absatz-Standardschriftart"/>
    <w:uiPriority w:val="99"/>
    <w:semiHidden/>
    <w:unhideWhenUsed/>
    <w:rsid w:val="003D565B"/>
    <w:rPr>
      <w:vertAlign w:val="superscript"/>
    </w:rPr>
  </w:style>
  <w:style w:type="character" w:customStyle="1" w:styleId="berschrift1Zchn">
    <w:name w:val="Überschrift 1 Zchn"/>
    <w:basedOn w:val="Absatz-Standardschriftart"/>
    <w:link w:val="berschrift1"/>
    <w:uiPriority w:val="9"/>
    <w:rsid w:val="0009356D"/>
    <w:rPr>
      <w:rFonts w:eastAsiaTheme="majorEastAsia" w:cstheme="majorBidi"/>
      <w:b/>
      <w:bCs/>
      <w:color w:val="000000" w:themeColor="text1"/>
      <w:sz w:val="28"/>
      <w:szCs w:val="28"/>
    </w:rPr>
  </w:style>
  <w:style w:type="character" w:customStyle="1" w:styleId="berschrift2Zchn">
    <w:name w:val="Überschrift 2 Zchn"/>
    <w:basedOn w:val="Absatz-Standardschriftart"/>
    <w:link w:val="berschrift2"/>
    <w:uiPriority w:val="9"/>
    <w:rsid w:val="0009356D"/>
    <w:rPr>
      <w:rFonts w:eastAsiaTheme="majorEastAsia" w:cstheme="majorBidi"/>
      <w:b/>
      <w:bCs/>
      <w:color w:val="000000" w:themeColor="text1"/>
      <w:sz w:val="26"/>
      <w:szCs w:val="26"/>
    </w:rPr>
  </w:style>
  <w:style w:type="paragraph" w:styleId="Beschriftung">
    <w:name w:val="caption"/>
    <w:basedOn w:val="Standard"/>
    <w:next w:val="Standard"/>
    <w:uiPriority w:val="35"/>
    <w:unhideWhenUsed/>
    <w:qFormat/>
    <w:rsid w:val="00671A57"/>
    <w:pPr>
      <w:spacing w:line="240" w:lineRule="auto"/>
    </w:pPr>
    <w:rPr>
      <w:b/>
      <w:bCs/>
      <w:color w:val="000000" w:themeColor="text1"/>
      <w:szCs w:val="18"/>
    </w:rPr>
  </w:style>
  <w:style w:type="character" w:customStyle="1" w:styleId="berschrift3Zchn">
    <w:name w:val="Überschrift 3 Zchn"/>
    <w:basedOn w:val="Absatz-Standardschriftart"/>
    <w:link w:val="berschrift3"/>
    <w:uiPriority w:val="9"/>
    <w:rsid w:val="007E233A"/>
    <w:rPr>
      <w:rFonts w:eastAsiaTheme="majorEastAsia" w:cstheme="majorBidi"/>
      <w:bCs/>
      <w:color w:val="000000" w:themeColor="text1"/>
      <w:sz w:val="24"/>
    </w:rPr>
  </w:style>
  <w:style w:type="paragraph" w:styleId="Inhaltsverzeichnisberschrift">
    <w:name w:val="TOC Heading"/>
    <w:basedOn w:val="berschrift1"/>
    <w:next w:val="Standard"/>
    <w:uiPriority w:val="39"/>
    <w:semiHidden/>
    <w:unhideWhenUsed/>
    <w:qFormat/>
    <w:rsid w:val="009878EF"/>
    <w:pPr>
      <w:spacing w:before="480" w:after="0"/>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9878EF"/>
    <w:pPr>
      <w:spacing w:after="100"/>
    </w:pPr>
  </w:style>
  <w:style w:type="paragraph" w:styleId="Verzeichnis2">
    <w:name w:val="toc 2"/>
    <w:basedOn w:val="Standard"/>
    <w:next w:val="Standard"/>
    <w:autoRedefine/>
    <w:uiPriority w:val="39"/>
    <w:unhideWhenUsed/>
    <w:rsid w:val="009878EF"/>
    <w:pPr>
      <w:spacing w:after="100"/>
      <w:ind w:left="220"/>
    </w:pPr>
  </w:style>
  <w:style w:type="paragraph" w:styleId="Verzeichnis3">
    <w:name w:val="toc 3"/>
    <w:basedOn w:val="Standard"/>
    <w:next w:val="Standard"/>
    <w:autoRedefine/>
    <w:uiPriority w:val="39"/>
    <w:unhideWhenUsed/>
    <w:rsid w:val="009878EF"/>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54D2"/>
  </w:style>
  <w:style w:type="paragraph" w:styleId="berschrift1">
    <w:name w:val="heading 1"/>
    <w:basedOn w:val="Standard"/>
    <w:next w:val="Standard"/>
    <w:link w:val="berschrift1Zchn"/>
    <w:uiPriority w:val="9"/>
    <w:qFormat/>
    <w:rsid w:val="0009356D"/>
    <w:pPr>
      <w:keepNext/>
      <w:keepLines/>
      <w:spacing w:after="24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09356D"/>
    <w:pPr>
      <w:keepNext/>
      <w:keepLines/>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7E233A"/>
    <w:pPr>
      <w:keepNext/>
      <w:keepLines/>
      <w:spacing w:after="240"/>
      <w:outlineLvl w:val="2"/>
    </w:pPr>
    <w:rPr>
      <w:rFonts w:eastAsiaTheme="majorEastAsia" w:cstheme="majorBidi"/>
      <w:b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8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B3B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3B30"/>
  </w:style>
  <w:style w:type="paragraph" w:styleId="Fuzeile">
    <w:name w:val="footer"/>
    <w:basedOn w:val="Standard"/>
    <w:link w:val="FuzeileZchn"/>
    <w:uiPriority w:val="99"/>
    <w:unhideWhenUsed/>
    <w:rsid w:val="00FB3B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3B30"/>
  </w:style>
  <w:style w:type="paragraph" w:styleId="Listenabsatz">
    <w:name w:val="List Paragraph"/>
    <w:basedOn w:val="Standard"/>
    <w:uiPriority w:val="34"/>
    <w:qFormat/>
    <w:rsid w:val="00FB3B30"/>
    <w:pPr>
      <w:ind w:left="720"/>
      <w:contextualSpacing/>
    </w:pPr>
  </w:style>
  <w:style w:type="paragraph" w:styleId="Sprechblasentext">
    <w:name w:val="Balloon Text"/>
    <w:basedOn w:val="Standard"/>
    <w:link w:val="SprechblasentextZchn"/>
    <w:uiPriority w:val="99"/>
    <w:semiHidden/>
    <w:unhideWhenUsed/>
    <w:rsid w:val="00FB3B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3B30"/>
    <w:rPr>
      <w:rFonts w:ascii="Tahoma" w:hAnsi="Tahoma" w:cs="Tahoma"/>
      <w:sz w:val="16"/>
      <w:szCs w:val="16"/>
    </w:rPr>
  </w:style>
  <w:style w:type="character" w:styleId="Platzhaltertext">
    <w:name w:val="Placeholder Text"/>
    <w:basedOn w:val="Absatz-Standardschriftart"/>
    <w:uiPriority w:val="99"/>
    <w:semiHidden/>
    <w:rsid w:val="00541C24"/>
    <w:rPr>
      <w:color w:val="808080"/>
    </w:rPr>
  </w:style>
  <w:style w:type="character" w:styleId="Hyperlink">
    <w:name w:val="Hyperlink"/>
    <w:basedOn w:val="Absatz-Standardschriftart"/>
    <w:uiPriority w:val="99"/>
    <w:unhideWhenUsed/>
    <w:rsid w:val="00925332"/>
    <w:rPr>
      <w:color w:val="0000FF"/>
      <w:u w:val="single"/>
    </w:rPr>
  </w:style>
  <w:style w:type="paragraph" w:styleId="Funotentext">
    <w:name w:val="footnote text"/>
    <w:basedOn w:val="Standard"/>
    <w:link w:val="FunotentextZchn"/>
    <w:uiPriority w:val="99"/>
    <w:semiHidden/>
    <w:unhideWhenUsed/>
    <w:rsid w:val="003D565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D565B"/>
    <w:rPr>
      <w:sz w:val="20"/>
      <w:szCs w:val="20"/>
    </w:rPr>
  </w:style>
  <w:style w:type="character" w:styleId="Funotenzeichen">
    <w:name w:val="footnote reference"/>
    <w:basedOn w:val="Absatz-Standardschriftart"/>
    <w:uiPriority w:val="99"/>
    <w:semiHidden/>
    <w:unhideWhenUsed/>
    <w:rsid w:val="003D565B"/>
    <w:rPr>
      <w:vertAlign w:val="superscript"/>
    </w:rPr>
  </w:style>
  <w:style w:type="character" w:customStyle="1" w:styleId="berschrift1Zchn">
    <w:name w:val="Überschrift 1 Zchn"/>
    <w:basedOn w:val="Absatz-Standardschriftart"/>
    <w:link w:val="berschrift1"/>
    <w:uiPriority w:val="9"/>
    <w:rsid w:val="0009356D"/>
    <w:rPr>
      <w:rFonts w:eastAsiaTheme="majorEastAsia" w:cstheme="majorBidi"/>
      <w:b/>
      <w:bCs/>
      <w:color w:val="000000" w:themeColor="text1"/>
      <w:sz w:val="28"/>
      <w:szCs w:val="28"/>
    </w:rPr>
  </w:style>
  <w:style w:type="character" w:customStyle="1" w:styleId="berschrift2Zchn">
    <w:name w:val="Überschrift 2 Zchn"/>
    <w:basedOn w:val="Absatz-Standardschriftart"/>
    <w:link w:val="berschrift2"/>
    <w:uiPriority w:val="9"/>
    <w:rsid w:val="0009356D"/>
    <w:rPr>
      <w:rFonts w:eastAsiaTheme="majorEastAsia" w:cstheme="majorBidi"/>
      <w:b/>
      <w:bCs/>
      <w:color w:val="000000" w:themeColor="text1"/>
      <w:sz w:val="26"/>
      <w:szCs w:val="26"/>
    </w:rPr>
  </w:style>
  <w:style w:type="paragraph" w:styleId="Beschriftung">
    <w:name w:val="caption"/>
    <w:basedOn w:val="Standard"/>
    <w:next w:val="Standard"/>
    <w:uiPriority w:val="35"/>
    <w:unhideWhenUsed/>
    <w:qFormat/>
    <w:rsid w:val="00671A57"/>
    <w:pPr>
      <w:spacing w:line="240" w:lineRule="auto"/>
    </w:pPr>
    <w:rPr>
      <w:b/>
      <w:bCs/>
      <w:color w:val="000000" w:themeColor="text1"/>
      <w:szCs w:val="18"/>
    </w:rPr>
  </w:style>
  <w:style w:type="character" w:customStyle="1" w:styleId="berschrift3Zchn">
    <w:name w:val="Überschrift 3 Zchn"/>
    <w:basedOn w:val="Absatz-Standardschriftart"/>
    <w:link w:val="berschrift3"/>
    <w:uiPriority w:val="9"/>
    <w:rsid w:val="007E233A"/>
    <w:rPr>
      <w:rFonts w:eastAsiaTheme="majorEastAsia" w:cstheme="majorBidi"/>
      <w:bCs/>
      <w:color w:val="000000" w:themeColor="text1"/>
      <w:sz w:val="24"/>
    </w:rPr>
  </w:style>
  <w:style w:type="paragraph" w:styleId="Inhaltsverzeichnisberschrift">
    <w:name w:val="TOC Heading"/>
    <w:basedOn w:val="berschrift1"/>
    <w:next w:val="Standard"/>
    <w:uiPriority w:val="39"/>
    <w:semiHidden/>
    <w:unhideWhenUsed/>
    <w:qFormat/>
    <w:rsid w:val="009878EF"/>
    <w:pPr>
      <w:spacing w:before="480" w:after="0"/>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9878EF"/>
    <w:pPr>
      <w:spacing w:after="100"/>
    </w:pPr>
  </w:style>
  <w:style w:type="paragraph" w:styleId="Verzeichnis2">
    <w:name w:val="toc 2"/>
    <w:basedOn w:val="Standard"/>
    <w:next w:val="Standard"/>
    <w:autoRedefine/>
    <w:uiPriority w:val="39"/>
    <w:unhideWhenUsed/>
    <w:rsid w:val="009878EF"/>
    <w:pPr>
      <w:spacing w:after="100"/>
      <w:ind w:left="220"/>
    </w:pPr>
  </w:style>
  <w:style w:type="paragraph" w:styleId="Verzeichnis3">
    <w:name w:val="toc 3"/>
    <w:basedOn w:val="Standard"/>
    <w:next w:val="Standard"/>
    <w:autoRedefine/>
    <w:uiPriority w:val="39"/>
    <w:unhideWhenUsed/>
    <w:rsid w:val="009878E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66FF-7AE6-4366-866A-FF351D6C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10058</Words>
  <Characters>63367</Characters>
  <Application>Microsoft Office Word</Application>
  <DocSecurity>0</DocSecurity>
  <Lines>528</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Rauber</dc:creator>
  <cp:keywords/>
  <dc:description/>
  <cp:lastModifiedBy>Daniel Rauber</cp:lastModifiedBy>
  <cp:revision>57</cp:revision>
  <dcterms:created xsi:type="dcterms:W3CDTF">2017-02-22T13:54:00Z</dcterms:created>
  <dcterms:modified xsi:type="dcterms:W3CDTF">2017-08-21T06:09:00Z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http://www.zotero.org/styles/journal-of-chemical-education</vt:lpwstr>
  </property>
  <property fmtid="{D5CDD505-2E9C-101B-9397-08002B2CF9AE}" pid="13" name="Mendeley Recent Style Name 5_1">
    <vt:lpwstr>Journal of Chemical Education</vt:lpwstr>
  </property>
  <property fmtid="{D5CDD505-2E9C-101B-9397-08002B2CF9AE}" pid="14" name="Mendeley Recent Style Id 6_1">
    <vt:lpwstr>http://www.zotero.org/styles/journal-of-fluorine-chemistry</vt:lpwstr>
  </property>
  <property fmtid="{D5CDD505-2E9C-101B-9397-08002B2CF9AE}" pid="15" name="Mendeley Recent Style Name 6_1">
    <vt:lpwstr>Journal of Fluorine Chemistry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f872ae54-58ef-37e4-9e4f-f977f4b69dd2</vt:lpwstr>
  </property>
  <property fmtid="{D5CDD505-2E9C-101B-9397-08002B2CF9AE}" pid="24" name="Mendeley Citation Style_1">
    <vt:lpwstr>http://www.zotero.org/styles/journal-of-chemical-education</vt:lpwstr>
  </property>
</Properties>
</file>